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143E6" w14:textId="77777777" w:rsidR="00F80D6F" w:rsidRPr="00F80D6F" w:rsidRDefault="00F80D6F" w:rsidP="00F80D6F">
      <w:pPr>
        <w:rPr>
          <w:rFonts w:ascii="Calibri" w:eastAsia="Effra" w:hAnsi="Calibri" w:cs="Calibri"/>
          <w:b/>
          <w:bCs/>
          <w:color w:val="000000"/>
          <w:sz w:val="20"/>
          <w:szCs w:val="22"/>
        </w:rPr>
      </w:pPr>
      <w:r w:rsidRPr="00F80D6F">
        <w:rPr>
          <w:rFonts w:ascii="Calibri" w:eastAsia="Effra" w:hAnsi="Calibri" w:cs="Calibri"/>
          <w:b/>
          <w:bCs/>
          <w:color w:val="000000"/>
          <w:sz w:val="20"/>
          <w:szCs w:val="22"/>
        </w:rPr>
        <w:t>Table S7.  Comparisons between select recommendation statements of the ACOEM, American College of Physicians (ACP) and United Kingdoms’ National Institute of Health and Care Excellence (NICE) guidelines for acute low back pain.</w:t>
      </w:r>
      <w:r w:rsidRPr="00F80D6F">
        <w:rPr>
          <w:rFonts w:ascii="Calibri" w:eastAsia="Effra" w:hAnsi="Calibri" w:cs="Calibri"/>
          <w:b/>
          <w:bCs/>
          <w:color w:val="000000"/>
          <w:sz w:val="20"/>
          <w:szCs w:val="22"/>
          <w:vertAlign w:val="superscript"/>
        </w:rPr>
        <w:t>1</w:t>
      </w:r>
    </w:p>
    <w:p w14:paraId="33F6B6EE" w14:textId="77777777" w:rsidR="00F80D6F" w:rsidRPr="00F80D6F" w:rsidRDefault="00F80D6F" w:rsidP="00F80D6F">
      <w:pPr>
        <w:rPr>
          <w:rFonts w:ascii="Effra" w:eastAsia="Effra" w:hAnsi="Effra" w:cs="Times New Roman"/>
          <w:color w:val="75787B"/>
          <w:sz w:val="20"/>
          <w:szCs w:val="22"/>
        </w:rPr>
      </w:pPr>
    </w:p>
    <w:tbl>
      <w:tblPr>
        <w:tblStyle w:val="TableGrid"/>
        <w:tblW w:w="7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1547"/>
        <w:gridCol w:w="1872"/>
        <w:gridCol w:w="1813"/>
      </w:tblGrid>
      <w:tr w:rsidR="00F80D6F" w:rsidRPr="00F80D6F" w14:paraId="1384BA5C" w14:textId="77777777" w:rsidTr="000F5818">
        <w:tc>
          <w:tcPr>
            <w:tcW w:w="2231" w:type="dxa"/>
          </w:tcPr>
          <w:p w14:paraId="1AD4A347" w14:textId="77777777" w:rsidR="00F80D6F" w:rsidRPr="00F80D6F" w:rsidRDefault="00F80D6F" w:rsidP="00F80D6F">
            <w:pPr>
              <w:rPr>
                <w:rFonts w:ascii="Calibri" w:eastAsia="Effra" w:hAnsi="Calibri" w:cs="Calibri"/>
                <w:b/>
                <w:bCs/>
                <w:color w:val="000000"/>
                <w:sz w:val="18"/>
                <w:szCs w:val="18"/>
              </w:rPr>
            </w:pPr>
          </w:p>
        </w:tc>
        <w:tc>
          <w:tcPr>
            <w:tcW w:w="1547" w:type="dxa"/>
          </w:tcPr>
          <w:p w14:paraId="6A8893F6" w14:textId="77777777" w:rsidR="00F80D6F" w:rsidRPr="00F80D6F" w:rsidRDefault="00F80D6F" w:rsidP="00F80D6F">
            <w:pPr>
              <w:rPr>
                <w:rFonts w:ascii="Calibri" w:eastAsia="Effra" w:hAnsi="Calibri" w:cs="Calibri"/>
                <w:b/>
                <w:bCs/>
                <w:color w:val="000000"/>
                <w:sz w:val="18"/>
                <w:szCs w:val="18"/>
              </w:rPr>
            </w:pPr>
            <w:r w:rsidRPr="00F80D6F">
              <w:rPr>
                <w:rFonts w:ascii="Calibri" w:eastAsia="Effra" w:hAnsi="Calibri" w:cs="Calibri"/>
                <w:b/>
                <w:bCs/>
                <w:color w:val="000000"/>
                <w:sz w:val="18"/>
                <w:szCs w:val="18"/>
              </w:rPr>
              <w:t>ACOEM (2018)</w:t>
            </w:r>
          </w:p>
        </w:tc>
        <w:tc>
          <w:tcPr>
            <w:tcW w:w="1872" w:type="dxa"/>
          </w:tcPr>
          <w:p w14:paraId="14A134EA" w14:textId="77777777" w:rsidR="00F80D6F" w:rsidRPr="00F80D6F" w:rsidRDefault="00F80D6F" w:rsidP="00F80D6F">
            <w:pPr>
              <w:rPr>
                <w:rFonts w:ascii="Calibri" w:eastAsia="Effra" w:hAnsi="Calibri" w:cs="Calibri"/>
                <w:b/>
                <w:bCs/>
                <w:color w:val="000000"/>
                <w:sz w:val="18"/>
                <w:szCs w:val="18"/>
              </w:rPr>
            </w:pPr>
            <w:r w:rsidRPr="00F80D6F">
              <w:rPr>
                <w:rFonts w:ascii="Calibri" w:eastAsia="Effra" w:hAnsi="Calibri" w:cs="Calibri"/>
                <w:b/>
                <w:bCs/>
                <w:color w:val="000000"/>
                <w:sz w:val="18"/>
                <w:szCs w:val="18"/>
              </w:rPr>
              <w:t>ACP (2017)</w:t>
            </w:r>
            <w:r w:rsidRPr="00F80D6F">
              <w:rPr>
                <w:rFonts w:ascii="Calibri" w:eastAsia="Effra" w:hAnsi="Calibri" w:cs="Calibri"/>
                <w:b/>
                <w:bCs/>
                <w:color w:val="000000"/>
                <w:sz w:val="18"/>
                <w:szCs w:val="18"/>
                <w:vertAlign w:val="superscript"/>
              </w:rPr>
              <w:t>2</w:t>
            </w:r>
          </w:p>
        </w:tc>
        <w:tc>
          <w:tcPr>
            <w:tcW w:w="1813" w:type="dxa"/>
          </w:tcPr>
          <w:p w14:paraId="0777A1BE" w14:textId="77777777" w:rsidR="00F80D6F" w:rsidRPr="00F80D6F" w:rsidRDefault="00F80D6F" w:rsidP="00F80D6F">
            <w:pPr>
              <w:rPr>
                <w:rFonts w:ascii="Calibri" w:eastAsia="Effra" w:hAnsi="Calibri" w:cs="Calibri"/>
                <w:b/>
                <w:bCs/>
                <w:color w:val="000000"/>
                <w:sz w:val="18"/>
                <w:szCs w:val="18"/>
              </w:rPr>
            </w:pPr>
            <w:r w:rsidRPr="00F80D6F">
              <w:rPr>
                <w:rFonts w:ascii="Calibri" w:eastAsia="Effra" w:hAnsi="Calibri" w:cs="Calibri"/>
                <w:b/>
                <w:bCs/>
                <w:color w:val="000000"/>
                <w:sz w:val="18"/>
                <w:szCs w:val="18"/>
              </w:rPr>
              <w:t>NICE/UK (2020)</w:t>
            </w:r>
            <w:r w:rsidRPr="00F80D6F">
              <w:rPr>
                <w:rFonts w:ascii="Calibri" w:eastAsia="Effra" w:hAnsi="Calibri" w:cs="Calibri"/>
                <w:color w:val="000000"/>
                <w:sz w:val="18"/>
                <w:szCs w:val="18"/>
                <w:vertAlign w:val="superscript"/>
              </w:rPr>
              <w:t>3</w:t>
            </w:r>
          </w:p>
        </w:tc>
      </w:tr>
      <w:tr w:rsidR="00F80D6F" w:rsidRPr="00F80D6F" w14:paraId="328A8E67" w14:textId="77777777" w:rsidTr="000F5818">
        <w:tc>
          <w:tcPr>
            <w:tcW w:w="2231" w:type="dxa"/>
          </w:tcPr>
          <w:p w14:paraId="65EE2812"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NSAID</w:t>
            </w:r>
          </w:p>
        </w:tc>
        <w:tc>
          <w:tcPr>
            <w:tcW w:w="1547" w:type="dxa"/>
          </w:tcPr>
          <w:p w14:paraId="7C8433C5"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Rec. (A)</w:t>
            </w:r>
          </w:p>
        </w:tc>
        <w:tc>
          <w:tcPr>
            <w:tcW w:w="1872" w:type="dxa"/>
          </w:tcPr>
          <w:p w14:paraId="76C308B8"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Rec (Mod)</w:t>
            </w:r>
          </w:p>
        </w:tc>
        <w:tc>
          <w:tcPr>
            <w:tcW w:w="1813" w:type="dxa"/>
          </w:tcPr>
          <w:p w14:paraId="33327A4C"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Rec</w:t>
            </w:r>
          </w:p>
        </w:tc>
      </w:tr>
      <w:tr w:rsidR="00F80D6F" w:rsidRPr="00F80D6F" w14:paraId="268D8DC8" w14:textId="77777777" w:rsidTr="000F5818">
        <w:tc>
          <w:tcPr>
            <w:tcW w:w="2231" w:type="dxa"/>
          </w:tcPr>
          <w:p w14:paraId="0885C243"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Muscle relaxant**</w:t>
            </w:r>
          </w:p>
        </w:tc>
        <w:tc>
          <w:tcPr>
            <w:tcW w:w="1547" w:type="dxa"/>
          </w:tcPr>
          <w:p w14:paraId="0E7A4AB3"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Rec (B)****</w:t>
            </w:r>
          </w:p>
        </w:tc>
        <w:tc>
          <w:tcPr>
            <w:tcW w:w="1872" w:type="dxa"/>
          </w:tcPr>
          <w:p w14:paraId="04907E03"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Rec (Mod)</w:t>
            </w:r>
          </w:p>
        </w:tc>
        <w:tc>
          <w:tcPr>
            <w:tcW w:w="1813" w:type="dxa"/>
          </w:tcPr>
          <w:p w14:paraId="363EE96B"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Silent</w:t>
            </w:r>
          </w:p>
        </w:tc>
      </w:tr>
      <w:tr w:rsidR="00F80D6F" w:rsidRPr="00F80D6F" w14:paraId="5A1B6BEB" w14:textId="77777777" w:rsidTr="000F5818">
        <w:tc>
          <w:tcPr>
            <w:tcW w:w="2231" w:type="dxa"/>
          </w:tcPr>
          <w:p w14:paraId="1F84F851"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Manipulation</w:t>
            </w:r>
          </w:p>
        </w:tc>
        <w:tc>
          <w:tcPr>
            <w:tcW w:w="1547" w:type="dxa"/>
          </w:tcPr>
          <w:p w14:paraId="4B36F9EA"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Rec (I)#</w:t>
            </w:r>
          </w:p>
        </w:tc>
        <w:tc>
          <w:tcPr>
            <w:tcW w:w="1872" w:type="dxa"/>
          </w:tcPr>
          <w:p w14:paraId="171E7295"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Rec (Low)</w:t>
            </w:r>
          </w:p>
        </w:tc>
        <w:tc>
          <w:tcPr>
            <w:tcW w:w="1813" w:type="dxa"/>
          </w:tcPr>
          <w:p w14:paraId="061E792D"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Rec#</w:t>
            </w:r>
          </w:p>
        </w:tc>
      </w:tr>
      <w:tr w:rsidR="00F80D6F" w:rsidRPr="00F80D6F" w14:paraId="19D0DFFC" w14:textId="77777777" w:rsidTr="000F5818">
        <w:tc>
          <w:tcPr>
            <w:tcW w:w="2231" w:type="dxa"/>
          </w:tcPr>
          <w:p w14:paraId="6907F587"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Toradol injection</w:t>
            </w:r>
          </w:p>
        </w:tc>
        <w:tc>
          <w:tcPr>
            <w:tcW w:w="1547" w:type="dxa"/>
          </w:tcPr>
          <w:p w14:paraId="7163301B"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Rec (A)</w:t>
            </w:r>
          </w:p>
        </w:tc>
        <w:tc>
          <w:tcPr>
            <w:tcW w:w="1872" w:type="dxa"/>
          </w:tcPr>
          <w:p w14:paraId="05396383"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Silent</w:t>
            </w:r>
          </w:p>
        </w:tc>
        <w:tc>
          <w:tcPr>
            <w:tcW w:w="1813" w:type="dxa"/>
          </w:tcPr>
          <w:p w14:paraId="05AB5B0E"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Silent</w:t>
            </w:r>
          </w:p>
        </w:tc>
      </w:tr>
      <w:tr w:rsidR="00F80D6F" w:rsidRPr="00F80D6F" w14:paraId="206664F3" w14:textId="77777777" w:rsidTr="000F5818">
        <w:tc>
          <w:tcPr>
            <w:tcW w:w="2231" w:type="dxa"/>
          </w:tcPr>
          <w:p w14:paraId="7D2D8D5A"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Manual Therapy</w:t>
            </w:r>
          </w:p>
        </w:tc>
        <w:tc>
          <w:tcPr>
            <w:tcW w:w="1547" w:type="dxa"/>
          </w:tcPr>
          <w:p w14:paraId="5794A87C"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Rec (I)#</w:t>
            </w:r>
          </w:p>
        </w:tc>
        <w:tc>
          <w:tcPr>
            <w:tcW w:w="1872" w:type="dxa"/>
          </w:tcPr>
          <w:p w14:paraId="7D10815F"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Rec (Low)</w:t>
            </w:r>
          </w:p>
        </w:tc>
        <w:tc>
          <w:tcPr>
            <w:tcW w:w="1813" w:type="dxa"/>
          </w:tcPr>
          <w:p w14:paraId="7D402207"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Rec#</w:t>
            </w:r>
          </w:p>
        </w:tc>
      </w:tr>
      <w:tr w:rsidR="00F80D6F" w:rsidRPr="00F80D6F" w14:paraId="217CC951" w14:textId="77777777" w:rsidTr="000F5818">
        <w:tc>
          <w:tcPr>
            <w:tcW w:w="2231" w:type="dxa"/>
          </w:tcPr>
          <w:p w14:paraId="133B823E"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Acupuncture</w:t>
            </w:r>
          </w:p>
        </w:tc>
        <w:tc>
          <w:tcPr>
            <w:tcW w:w="1547" w:type="dxa"/>
          </w:tcPr>
          <w:p w14:paraId="6D002E55"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Not Rec (I)</w:t>
            </w:r>
          </w:p>
        </w:tc>
        <w:tc>
          <w:tcPr>
            <w:tcW w:w="1872" w:type="dxa"/>
          </w:tcPr>
          <w:p w14:paraId="3AFE5A5B"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Rec. (Low)</w:t>
            </w:r>
          </w:p>
        </w:tc>
        <w:tc>
          <w:tcPr>
            <w:tcW w:w="1813" w:type="dxa"/>
          </w:tcPr>
          <w:p w14:paraId="4ADD290E"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Not Rec</w:t>
            </w:r>
          </w:p>
        </w:tc>
      </w:tr>
      <w:tr w:rsidR="00F80D6F" w:rsidRPr="00F80D6F" w14:paraId="56B2F0A8" w14:textId="77777777" w:rsidTr="000F5818">
        <w:tc>
          <w:tcPr>
            <w:tcW w:w="2231" w:type="dxa"/>
          </w:tcPr>
          <w:p w14:paraId="4B43E9FD"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Opioid</w:t>
            </w:r>
          </w:p>
        </w:tc>
        <w:tc>
          <w:tcPr>
            <w:tcW w:w="1547" w:type="dxa"/>
          </w:tcPr>
          <w:p w14:paraId="07746648"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Not Rec (A)</w:t>
            </w:r>
          </w:p>
        </w:tc>
        <w:tc>
          <w:tcPr>
            <w:tcW w:w="1872" w:type="dxa"/>
          </w:tcPr>
          <w:p w14:paraId="178483B1"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Silent &amp;</w:t>
            </w:r>
          </w:p>
        </w:tc>
        <w:tc>
          <w:tcPr>
            <w:tcW w:w="1813" w:type="dxa"/>
          </w:tcPr>
          <w:p w14:paraId="51BCE53B"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Not Rec</w:t>
            </w:r>
          </w:p>
        </w:tc>
      </w:tr>
      <w:tr w:rsidR="00F80D6F" w:rsidRPr="00F80D6F" w14:paraId="5D6905D8" w14:textId="77777777" w:rsidTr="000F5818">
        <w:tc>
          <w:tcPr>
            <w:tcW w:w="2231" w:type="dxa"/>
          </w:tcPr>
          <w:p w14:paraId="29C75046"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Anti-depressants (TCA, SNRI)</w:t>
            </w:r>
          </w:p>
        </w:tc>
        <w:tc>
          <w:tcPr>
            <w:tcW w:w="1547" w:type="dxa"/>
          </w:tcPr>
          <w:p w14:paraId="5E5F4ED7"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Rec (C)$</w:t>
            </w:r>
          </w:p>
        </w:tc>
        <w:tc>
          <w:tcPr>
            <w:tcW w:w="1872" w:type="dxa"/>
          </w:tcPr>
          <w:p w14:paraId="09607DE7"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Silent</w:t>
            </w:r>
          </w:p>
        </w:tc>
        <w:tc>
          <w:tcPr>
            <w:tcW w:w="1813" w:type="dxa"/>
          </w:tcPr>
          <w:p w14:paraId="55CABAB1"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Not Rec</w:t>
            </w:r>
          </w:p>
        </w:tc>
      </w:tr>
      <w:tr w:rsidR="00F80D6F" w:rsidRPr="00F80D6F" w14:paraId="02DD4CBB" w14:textId="77777777" w:rsidTr="000F5818">
        <w:tc>
          <w:tcPr>
            <w:tcW w:w="2231" w:type="dxa"/>
          </w:tcPr>
          <w:p w14:paraId="21121EBD"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Anti-depressant (SSRI)</w:t>
            </w:r>
          </w:p>
        </w:tc>
        <w:tc>
          <w:tcPr>
            <w:tcW w:w="1547" w:type="dxa"/>
          </w:tcPr>
          <w:p w14:paraId="4F320862"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Not Rec(A)</w:t>
            </w:r>
          </w:p>
        </w:tc>
        <w:tc>
          <w:tcPr>
            <w:tcW w:w="1872" w:type="dxa"/>
          </w:tcPr>
          <w:p w14:paraId="4D787BA1"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Silent</w:t>
            </w:r>
          </w:p>
        </w:tc>
        <w:tc>
          <w:tcPr>
            <w:tcW w:w="1813" w:type="dxa"/>
          </w:tcPr>
          <w:p w14:paraId="222BBC23"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Not Rec</w:t>
            </w:r>
          </w:p>
        </w:tc>
      </w:tr>
      <w:tr w:rsidR="00F80D6F" w:rsidRPr="00F80D6F" w14:paraId="501834A6" w14:textId="77777777" w:rsidTr="000F5818">
        <w:tc>
          <w:tcPr>
            <w:tcW w:w="2231" w:type="dxa"/>
          </w:tcPr>
          <w:p w14:paraId="7ED55661"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Massage</w:t>
            </w:r>
          </w:p>
        </w:tc>
        <w:tc>
          <w:tcPr>
            <w:tcW w:w="1547" w:type="dxa"/>
          </w:tcPr>
          <w:p w14:paraId="595FCD23"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Rec (I)</w:t>
            </w:r>
          </w:p>
        </w:tc>
        <w:tc>
          <w:tcPr>
            <w:tcW w:w="1872" w:type="dxa"/>
          </w:tcPr>
          <w:p w14:paraId="4B4D98E5"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Rec (Low)</w:t>
            </w:r>
          </w:p>
        </w:tc>
        <w:tc>
          <w:tcPr>
            <w:tcW w:w="1813" w:type="dxa"/>
          </w:tcPr>
          <w:p w14:paraId="7AEF7995"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Rec#</w:t>
            </w:r>
          </w:p>
        </w:tc>
      </w:tr>
      <w:tr w:rsidR="00F80D6F" w:rsidRPr="00F80D6F" w14:paraId="3ED8F9E3" w14:textId="77777777" w:rsidTr="000F5818">
        <w:tc>
          <w:tcPr>
            <w:tcW w:w="2231" w:type="dxa"/>
          </w:tcPr>
          <w:p w14:paraId="4BA8B752"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Heat</w:t>
            </w:r>
          </w:p>
        </w:tc>
        <w:tc>
          <w:tcPr>
            <w:tcW w:w="1547" w:type="dxa"/>
          </w:tcPr>
          <w:p w14:paraId="228D97A9"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Rec (C)</w:t>
            </w:r>
          </w:p>
        </w:tc>
        <w:tc>
          <w:tcPr>
            <w:tcW w:w="1872" w:type="dxa"/>
          </w:tcPr>
          <w:p w14:paraId="2D000430"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Rec (Mod)</w:t>
            </w:r>
          </w:p>
        </w:tc>
        <w:tc>
          <w:tcPr>
            <w:tcW w:w="1813" w:type="dxa"/>
          </w:tcPr>
          <w:p w14:paraId="74AD7E73"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Silent</w:t>
            </w:r>
          </w:p>
        </w:tc>
      </w:tr>
      <w:tr w:rsidR="00F80D6F" w:rsidRPr="00F80D6F" w14:paraId="78CDBBD9" w14:textId="77777777" w:rsidTr="000F5818">
        <w:tc>
          <w:tcPr>
            <w:tcW w:w="2231" w:type="dxa"/>
          </w:tcPr>
          <w:p w14:paraId="24F759E6"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Carisoprodol</w:t>
            </w:r>
          </w:p>
        </w:tc>
        <w:tc>
          <w:tcPr>
            <w:tcW w:w="1547" w:type="dxa"/>
          </w:tcPr>
          <w:p w14:paraId="40409DA1"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Not Rec (I)</w:t>
            </w:r>
          </w:p>
        </w:tc>
        <w:tc>
          <w:tcPr>
            <w:tcW w:w="1872" w:type="dxa"/>
          </w:tcPr>
          <w:p w14:paraId="09EBF17F"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Rec mm relaxants/Silent</w:t>
            </w:r>
          </w:p>
        </w:tc>
        <w:tc>
          <w:tcPr>
            <w:tcW w:w="1813" w:type="dxa"/>
          </w:tcPr>
          <w:p w14:paraId="3B9C5DF8"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Silent</w:t>
            </w:r>
          </w:p>
        </w:tc>
      </w:tr>
      <w:tr w:rsidR="00F80D6F" w:rsidRPr="00F80D6F" w14:paraId="5B5EFBBE" w14:textId="77777777" w:rsidTr="000F5818">
        <w:tc>
          <w:tcPr>
            <w:tcW w:w="2231" w:type="dxa"/>
          </w:tcPr>
          <w:p w14:paraId="07AC5BFC" w14:textId="77777777" w:rsidR="00F80D6F" w:rsidRPr="00F80D6F" w:rsidRDefault="00F80D6F" w:rsidP="00F80D6F">
            <w:pPr>
              <w:rPr>
                <w:rFonts w:ascii="Calibri" w:eastAsia="Effra" w:hAnsi="Calibri" w:cs="Calibri"/>
                <w:color w:val="000000"/>
                <w:sz w:val="18"/>
                <w:szCs w:val="18"/>
              </w:rPr>
            </w:pPr>
            <w:proofErr w:type="spellStart"/>
            <w:r w:rsidRPr="00F80D6F">
              <w:rPr>
                <w:rFonts w:ascii="Calibri" w:eastAsia="Effra" w:hAnsi="Calibri" w:cs="Calibri"/>
                <w:color w:val="000000"/>
                <w:sz w:val="18"/>
                <w:szCs w:val="18"/>
              </w:rPr>
              <w:t>Glucocorticosteroids</w:t>
            </w:r>
            <w:proofErr w:type="spellEnd"/>
          </w:p>
        </w:tc>
        <w:tc>
          <w:tcPr>
            <w:tcW w:w="1547" w:type="dxa"/>
          </w:tcPr>
          <w:p w14:paraId="7A51989A"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Not Rec (B)</w:t>
            </w:r>
          </w:p>
        </w:tc>
        <w:tc>
          <w:tcPr>
            <w:tcW w:w="1872" w:type="dxa"/>
          </w:tcPr>
          <w:p w14:paraId="275845C8"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Silent</w:t>
            </w:r>
          </w:p>
        </w:tc>
        <w:tc>
          <w:tcPr>
            <w:tcW w:w="1813" w:type="dxa"/>
          </w:tcPr>
          <w:p w14:paraId="0079CAA0"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Silent</w:t>
            </w:r>
          </w:p>
        </w:tc>
      </w:tr>
      <w:tr w:rsidR="00F80D6F" w:rsidRPr="00F80D6F" w14:paraId="7F3F2B63" w14:textId="77777777" w:rsidTr="000F5818">
        <w:tc>
          <w:tcPr>
            <w:tcW w:w="2231" w:type="dxa"/>
          </w:tcPr>
          <w:p w14:paraId="65EC9AE3"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MRI or CT</w:t>
            </w:r>
          </w:p>
        </w:tc>
        <w:tc>
          <w:tcPr>
            <w:tcW w:w="1547" w:type="dxa"/>
          </w:tcPr>
          <w:p w14:paraId="40FEED3A"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Not Rec (C)</w:t>
            </w:r>
          </w:p>
        </w:tc>
        <w:tc>
          <w:tcPr>
            <w:tcW w:w="1872" w:type="dxa"/>
          </w:tcPr>
          <w:p w14:paraId="0EDFA017"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Silent</w:t>
            </w:r>
          </w:p>
        </w:tc>
        <w:tc>
          <w:tcPr>
            <w:tcW w:w="1813" w:type="dxa"/>
          </w:tcPr>
          <w:p w14:paraId="340D59EA"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Not Rec.</w:t>
            </w:r>
          </w:p>
        </w:tc>
      </w:tr>
      <w:tr w:rsidR="00F80D6F" w:rsidRPr="00F80D6F" w14:paraId="6A8A63A4" w14:textId="77777777" w:rsidTr="000F5818">
        <w:tc>
          <w:tcPr>
            <w:tcW w:w="2231" w:type="dxa"/>
          </w:tcPr>
          <w:p w14:paraId="35707CD0"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X-ray***</w:t>
            </w:r>
          </w:p>
        </w:tc>
        <w:tc>
          <w:tcPr>
            <w:tcW w:w="1547" w:type="dxa"/>
          </w:tcPr>
          <w:p w14:paraId="3770F72D"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Not Rec (B)</w:t>
            </w:r>
          </w:p>
        </w:tc>
        <w:tc>
          <w:tcPr>
            <w:tcW w:w="1872" w:type="dxa"/>
          </w:tcPr>
          <w:p w14:paraId="03C75B5C"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Silent</w:t>
            </w:r>
          </w:p>
        </w:tc>
        <w:tc>
          <w:tcPr>
            <w:tcW w:w="1813" w:type="dxa"/>
          </w:tcPr>
          <w:p w14:paraId="12087C04"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Not Rec</w:t>
            </w:r>
          </w:p>
        </w:tc>
      </w:tr>
      <w:tr w:rsidR="00F80D6F" w:rsidRPr="00F80D6F" w14:paraId="69A270F6" w14:textId="77777777" w:rsidTr="000F5818">
        <w:tc>
          <w:tcPr>
            <w:tcW w:w="2231" w:type="dxa"/>
          </w:tcPr>
          <w:p w14:paraId="5A1D81A3"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Ultrasound (therapeutic)</w:t>
            </w:r>
          </w:p>
        </w:tc>
        <w:tc>
          <w:tcPr>
            <w:tcW w:w="1547" w:type="dxa"/>
          </w:tcPr>
          <w:p w14:paraId="39033C1B"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No Rec (I)</w:t>
            </w:r>
          </w:p>
        </w:tc>
        <w:tc>
          <w:tcPr>
            <w:tcW w:w="1872" w:type="dxa"/>
          </w:tcPr>
          <w:p w14:paraId="4C25B53E"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Silent</w:t>
            </w:r>
          </w:p>
        </w:tc>
        <w:tc>
          <w:tcPr>
            <w:tcW w:w="1813" w:type="dxa"/>
          </w:tcPr>
          <w:p w14:paraId="5DA6F8C4"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Not Rec</w:t>
            </w:r>
          </w:p>
        </w:tc>
      </w:tr>
      <w:tr w:rsidR="00F80D6F" w:rsidRPr="00F80D6F" w14:paraId="36CA6656" w14:textId="77777777" w:rsidTr="000F5818">
        <w:tc>
          <w:tcPr>
            <w:tcW w:w="2231" w:type="dxa"/>
            <w:tcBorders>
              <w:bottom w:val="single" w:sz="4" w:space="0" w:color="auto"/>
            </w:tcBorders>
          </w:tcPr>
          <w:p w14:paraId="17D46D94"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Electrical Stimulation</w:t>
            </w:r>
          </w:p>
        </w:tc>
        <w:tc>
          <w:tcPr>
            <w:tcW w:w="1547" w:type="dxa"/>
            <w:tcBorders>
              <w:bottom w:val="single" w:sz="4" w:space="0" w:color="auto"/>
            </w:tcBorders>
          </w:tcPr>
          <w:p w14:paraId="4B7C82EF"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Not Rec (I)</w:t>
            </w:r>
          </w:p>
        </w:tc>
        <w:tc>
          <w:tcPr>
            <w:tcW w:w="1872" w:type="dxa"/>
            <w:tcBorders>
              <w:bottom w:val="single" w:sz="4" w:space="0" w:color="auto"/>
            </w:tcBorders>
          </w:tcPr>
          <w:p w14:paraId="02B7DF33"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Silent</w:t>
            </w:r>
          </w:p>
        </w:tc>
        <w:tc>
          <w:tcPr>
            <w:tcW w:w="1813" w:type="dxa"/>
            <w:tcBorders>
              <w:bottom w:val="single" w:sz="4" w:space="0" w:color="auto"/>
            </w:tcBorders>
          </w:tcPr>
          <w:p w14:paraId="62FA48DE"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Not Rec</w:t>
            </w:r>
          </w:p>
        </w:tc>
      </w:tr>
      <w:tr w:rsidR="00F80D6F" w:rsidRPr="00F80D6F" w14:paraId="311DD39C" w14:textId="77777777" w:rsidTr="000F5818">
        <w:tc>
          <w:tcPr>
            <w:tcW w:w="7463" w:type="dxa"/>
            <w:gridSpan w:val="4"/>
            <w:tcBorders>
              <w:left w:val="nil"/>
              <w:bottom w:val="nil"/>
              <w:right w:val="nil"/>
            </w:tcBorders>
          </w:tcPr>
          <w:p w14:paraId="0DC4BB20"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vertAlign w:val="superscript"/>
              </w:rPr>
              <w:t>1</w:t>
            </w:r>
            <w:r w:rsidRPr="00F80D6F">
              <w:rPr>
                <w:rFonts w:ascii="Calibri" w:eastAsia="Effra" w:hAnsi="Calibri" w:cs="Calibri"/>
                <w:color w:val="000000"/>
                <w:sz w:val="18"/>
                <w:szCs w:val="18"/>
              </w:rPr>
              <w:t xml:space="preserve"> These are summaries of the guidelines’ recommendations statements.  Readers are advised that there also may be additional brief discussion of topics in the guidelines text without mention in guidelines’ recommendations statements.  For purposes of this table, a recommendation for manipulation was entered as the same for manual therapy.</w:t>
            </w:r>
          </w:p>
          <w:p w14:paraId="4F4B71D9"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vertAlign w:val="superscript"/>
              </w:rPr>
              <w:t xml:space="preserve">2 </w:t>
            </w:r>
            <w:proofErr w:type="gramStart"/>
            <w:r w:rsidRPr="00F80D6F">
              <w:rPr>
                <w:rFonts w:ascii="Calibri" w:eastAsia="Effra" w:hAnsi="Calibri" w:cs="Calibri"/>
                <w:color w:val="000000"/>
                <w:sz w:val="18"/>
                <w:szCs w:val="18"/>
              </w:rPr>
              <w:t>Qaseem  et al.</w:t>
            </w:r>
            <w:proofErr w:type="gramEnd"/>
            <w:r w:rsidRPr="00F80D6F">
              <w:rPr>
                <w:rFonts w:ascii="Calibri" w:eastAsia="Effra" w:hAnsi="Calibri" w:cs="Calibri"/>
                <w:color w:val="000000"/>
                <w:sz w:val="18"/>
                <w:szCs w:val="18"/>
              </w:rPr>
              <w:t xml:space="preserve"> (2017)</w:t>
            </w:r>
          </w:p>
          <w:p w14:paraId="1C5B66A7" w14:textId="77777777" w:rsidR="00F80D6F" w:rsidRPr="00F80D6F" w:rsidRDefault="00F80D6F" w:rsidP="00F80D6F">
            <w:pPr>
              <w:rPr>
                <w:rFonts w:ascii="Calibri" w:eastAsia="Effra" w:hAnsi="Calibri" w:cs="Calibri"/>
                <w:color w:val="000000"/>
                <w:sz w:val="18"/>
                <w:szCs w:val="18"/>
                <w:u w:val="single"/>
              </w:rPr>
            </w:pPr>
            <w:r w:rsidRPr="00F80D6F">
              <w:rPr>
                <w:rFonts w:ascii="Calibri" w:eastAsia="Effra" w:hAnsi="Calibri" w:cs="Calibri"/>
                <w:color w:val="000000"/>
                <w:sz w:val="18"/>
                <w:szCs w:val="18"/>
                <w:vertAlign w:val="superscript"/>
              </w:rPr>
              <w:t>3</w:t>
            </w:r>
            <w:r w:rsidRPr="00F80D6F">
              <w:rPr>
                <w:rFonts w:ascii="Calibri" w:eastAsia="Effra" w:hAnsi="Calibri" w:cs="Calibri"/>
                <w:color w:val="000000"/>
                <w:sz w:val="18"/>
                <w:szCs w:val="18"/>
              </w:rPr>
              <w:t xml:space="preserve"> NICE low back guideline (2016)</w:t>
            </w:r>
          </w:p>
          <w:p w14:paraId="797DDFD1"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 Not including Carisoprodol, which is not recommended.</w:t>
            </w:r>
          </w:p>
          <w:p w14:paraId="6D005C3E"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 Absent red flags, including trauma.</w:t>
            </w:r>
          </w:p>
          <w:p w14:paraId="41DFB886"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 Unless mild to moderate then not recommended.</w:t>
            </w:r>
          </w:p>
          <w:p w14:paraId="3EB6CC37"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 Only if part of a rehabilitation program that includes active exercise.</w:t>
            </w:r>
          </w:p>
          <w:p w14:paraId="05C5242A"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&amp; No formal recommendation, but mentioned as potentially harmful.</w:t>
            </w:r>
          </w:p>
          <w:p w14:paraId="77090BFD" w14:textId="77777777" w:rsidR="00F80D6F" w:rsidRPr="00F80D6F" w:rsidRDefault="00F80D6F" w:rsidP="00F80D6F">
            <w:pPr>
              <w:rPr>
                <w:rFonts w:ascii="Calibri" w:eastAsia="Effra" w:hAnsi="Calibri" w:cs="Calibri"/>
                <w:color w:val="000000"/>
                <w:sz w:val="18"/>
                <w:szCs w:val="18"/>
              </w:rPr>
            </w:pPr>
            <w:r w:rsidRPr="00F80D6F">
              <w:rPr>
                <w:rFonts w:ascii="Calibri" w:eastAsia="Effra" w:hAnsi="Calibri" w:cs="Calibri"/>
                <w:color w:val="000000"/>
                <w:sz w:val="18"/>
                <w:szCs w:val="18"/>
              </w:rPr>
              <w:t>$ Not including SSRI antidepressants, which are not recommended.</w:t>
            </w:r>
          </w:p>
        </w:tc>
      </w:tr>
    </w:tbl>
    <w:p w14:paraId="7E7A7527" w14:textId="77777777" w:rsidR="004563AA" w:rsidRDefault="004563AA"/>
    <w:sectPr w:rsidR="004563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ffra">
    <w:altName w:val="Calibri"/>
    <w:charset w:val="00"/>
    <w:family w:val="swiss"/>
    <w:pitch w:val="variable"/>
    <w:sig w:usb0="A00022EF" w:usb1="D000A05B" w:usb2="00000008" w:usb3="00000000" w:csb0="000000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D6F"/>
    <w:rsid w:val="004563AA"/>
    <w:rsid w:val="00A66F91"/>
    <w:rsid w:val="00F80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93EEB"/>
  <w15:chartTrackingRefBased/>
  <w15:docId w15:val="{1A51E0E6-4185-504B-A7C9-47C335C01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No Border"/>
    <w:basedOn w:val="TableNormal"/>
    <w:uiPriority w:val="39"/>
    <w:rsid w:val="00F80D6F"/>
    <w:rPr>
      <w:sz w:val="22"/>
      <w:szCs w:val="22"/>
      <w:lang w:val="en-AU"/>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1493</Characters>
  <Application>Microsoft Office Word</Application>
  <DocSecurity>0</DocSecurity>
  <Lines>12</Lines>
  <Paragraphs>3</Paragraphs>
  <ScaleCrop>false</ScaleCrop>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Fraser W. Gaspar</dc:creator>
  <cp:keywords/>
  <dc:description/>
  <cp:lastModifiedBy>Frank M Painter</cp:lastModifiedBy>
  <cp:revision>2</cp:revision>
  <dcterms:created xsi:type="dcterms:W3CDTF">2023-12-30T04:50:00Z</dcterms:created>
  <dcterms:modified xsi:type="dcterms:W3CDTF">2023-12-30T04:50:00Z</dcterms:modified>
</cp:coreProperties>
</file>