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EE5D6" w14:textId="6AE3FA43" w:rsidR="00952443" w:rsidRPr="00276801" w:rsidRDefault="00952443" w:rsidP="0098112A">
      <w:pPr>
        <w:pStyle w:val="BodyText"/>
        <w:spacing w:before="0"/>
        <w:ind w:firstLine="0"/>
        <w:rPr>
          <w:rFonts w:ascii="Times New Roman" w:hAnsi="Times New Roman"/>
          <w:b/>
          <w:sz w:val="20"/>
          <w:u w:val="single"/>
        </w:rPr>
      </w:pPr>
      <w:bookmarkStart w:id="0" w:name="_GoBack"/>
      <w:bookmarkEnd w:id="0"/>
      <w:r w:rsidRPr="00276801">
        <w:rPr>
          <w:rFonts w:ascii="Times New Roman" w:hAnsi="Times New Roman"/>
          <w:b/>
          <w:sz w:val="20"/>
          <w:u w:val="single"/>
        </w:rPr>
        <w:t>Coding of Pain Categories</w:t>
      </w:r>
    </w:p>
    <w:p w14:paraId="3E9C490D" w14:textId="77777777" w:rsidR="00167978" w:rsidRDefault="00952443" w:rsidP="00B810B8">
      <w:pPr>
        <w:pStyle w:val="BodyText"/>
        <w:ind w:firstLine="0"/>
        <w:rPr>
          <w:rFonts w:ascii="Times New Roman" w:hAnsi="Times New Roman"/>
          <w:b/>
          <w:sz w:val="20"/>
        </w:rPr>
      </w:pPr>
      <w:r w:rsidRPr="00D87D85">
        <w:rPr>
          <w:rFonts w:ascii="Times New Roman" w:hAnsi="Times New Roman"/>
          <w:b/>
          <w:sz w:val="20"/>
        </w:rPr>
        <w:t xml:space="preserve">Supplemental Materials for </w:t>
      </w:r>
    </w:p>
    <w:p w14:paraId="666E2CD5" w14:textId="6E68DA61" w:rsidR="00167978" w:rsidRDefault="00952443" w:rsidP="00167978">
      <w:pPr>
        <w:pStyle w:val="BodyText"/>
        <w:spacing w:before="0"/>
        <w:ind w:firstLine="0"/>
        <w:rPr>
          <w:rFonts w:ascii="Times New Roman" w:hAnsi="Times New Roman"/>
          <w:b/>
          <w:sz w:val="20"/>
        </w:rPr>
      </w:pPr>
      <w:proofErr w:type="gramStart"/>
      <w:r w:rsidRPr="00D87D85">
        <w:rPr>
          <w:rFonts w:ascii="Times New Roman" w:hAnsi="Times New Roman"/>
          <w:b/>
          <w:sz w:val="20"/>
        </w:rPr>
        <w:t>Prevalence of Pain Diagnoses and Burden of Pain among Active Duty Soldiers, FY2012</w:t>
      </w:r>
      <w:r w:rsidR="00167978">
        <w:rPr>
          <w:rFonts w:ascii="Times New Roman" w:hAnsi="Times New Roman"/>
          <w:b/>
          <w:sz w:val="20"/>
        </w:rPr>
        <w:t>.</w:t>
      </w:r>
      <w:proofErr w:type="gramEnd"/>
      <w:r w:rsidR="00167978">
        <w:rPr>
          <w:rFonts w:ascii="Times New Roman" w:hAnsi="Times New Roman"/>
          <w:b/>
          <w:sz w:val="20"/>
        </w:rPr>
        <w:t xml:space="preserve"> </w:t>
      </w:r>
      <w:proofErr w:type="gramStart"/>
      <w:r w:rsidR="00167978">
        <w:rPr>
          <w:rFonts w:ascii="Times New Roman" w:hAnsi="Times New Roman"/>
          <w:b/>
          <w:i/>
          <w:sz w:val="20"/>
        </w:rPr>
        <w:t>Military Medicine</w:t>
      </w:r>
      <w:r w:rsidR="00167978">
        <w:rPr>
          <w:rFonts w:ascii="Times New Roman" w:hAnsi="Times New Roman"/>
          <w:b/>
          <w:sz w:val="20"/>
        </w:rPr>
        <w:t xml:space="preserve"> 2018.</w:t>
      </w:r>
      <w:proofErr w:type="gramEnd"/>
      <w:r w:rsidR="00167978">
        <w:rPr>
          <w:rFonts w:ascii="Times New Roman" w:hAnsi="Times New Roman"/>
          <w:b/>
          <w:sz w:val="20"/>
        </w:rPr>
        <w:t xml:space="preserve"> </w:t>
      </w:r>
      <w:proofErr w:type="spellStart"/>
      <w:proofErr w:type="gramStart"/>
      <w:r w:rsidR="00167978" w:rsidRPr="00167978">
        <w:rPr>
          <w:rFonts w:ascii="Times New Roman" w:hAnsi="Times New Roman"/>
          <w:b/>
          <w:sz w:val="20"/>
        </w:rPr>
        <w:t>doi</w:t>
      </w:r>
      <w:proofErr w:type="spellEnd"/>
      <w:proofErr w:type="gramEnd"/>
      <w:r w:rsidR="00167978" w:rsidRPr="00167978">
        <w:rPr>
          <w:rFonts w:ascii="Times New Roman" w:hAnsi="Times New Roman"/>
          <w:b/>
          <w:sz w:val="20"/>
        </w:rPr>
        <w:t>: 10.1093/</w:t>
      </w:r>
      <w:proofErr w:type="spellStart"/>
      <w:r w:rsidR="00167978" w:rsidRPr="00167978">
        <w:rPr>
          <w:rFonts w:ascii="Times New Roman" w:hAnsi="Times New Roman"/>
          <w:b/>
          <w:sz w:val="20"/>
        </w:rPr>
        <w:t>milmed</w:t>
      </w:r>
      <w:proofErr w:type="spellEnd"/>
      <w:r w:rsidR="00167978" w:rsidRPr="00167978">
        <w:rPr>
          <w:rFonts w:ascii="Times New Roman" w:hAnsi="Times New Roman"/>
          <w:b/>
          <w:sz w:val="20"/>
        </w:rPr>
        <w:t>/usx200</w:t>
      </w:r>
    </w:p>
    <w:p w14:paraId="75593F8D" w14:textId="06D92879" w:rsidR="00952443" w:rsidRDefault="00167978" w:rsidP="00167978">
      <w:pPr>
        <w:pStyle w:val="BodyText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Sharon Reif, Ph.D.</w:t>
      </w:r>
      <w:r w:rsidRPr="00167978">
        <w:rPr>
          <w:rFonts w:ascii="Times New Roman" w:hAnsi="Times New Roman"/>
          <w:sz w:val="20"/>
        </w:rPr>
        <w:t xml:space="preserve">; Rachel </w:t>
      </w:r>
      <w:proofErr w:type="spellStart"/>
      <w:r w:rsidRPr="00167978">
        <w:rPr>
          <w:rFonts w:ascii="Times New Roman" w:hAnsi="Times New Roman"/>
          <w:sz w:val="20"/>
        </w:rPr>
        <w:t>Sayko</w:t>
      </w:r>
      <w:proofErr w:type="spellEnd"/>
      <w:r w:rsidRPr="00167978">
        <w:rPr>
          <w:rFonts w:ascii="Times New Roman" w:hAnsi="Times New Roman"/>
          <w:sz w:val="20"/>
        </w:rPr>
        <w:t xml:space="preserve"> Adams, Ph.D., </w:t>
      </w:r>
      <w:r>
        <w:rPr>
          <w:rFonts w:ascii="Times New Roman" w:hAnsi="Times New Roman"/>
          <w:sz w:val="20"/>
        </w:rPr>
        <w:t>M.P.H.; Grant A. Ritter, Ph.D.</w:t>
      </w:r>
      <w:r w:rsidRPr="00167978"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</w:t>
      </w:r>
      <w:r w:rsidRPr="00167978">
        <w:rPr>
          <w:rFonts w:ascii="Times New Roman" w:hAnsi="Times New Roman"/>
          <w:sz w:val="20"/>
        </w:rPr>
        <w:t>LTC Thomas V.</w:t>
      </w:r>
      <w:r w:rsidR="005C662F">
        <w:rPr>
          <w:rFonts w:ascii="Times New Roman" w:hAnsi="Times New Roman"/>
          <w:sz w:val="20"/>
        </w:rPr>
        <w:t xml:space="preserve"> Williams, Ph.D., MS USA (RET); Mary Jo Larson, Ph.D., M.P.A.</w:t>
      </w:r>
    </w:p>
    <w:p w14:paraId="3B3F1D37" w14:textId="77777777" w:rsidR="00167978" w:rsidRDefault="00167978" w:rsidP="00167978">
      <w:pPr>
        <w:pStyle w:val="BodyText"/>
        <w:spacing w:before="0"/>
        <w:ind w:firstLine="0"/>
        <w:rPr>
          <w:rFonts w:ascii="Times New Roman" w:hAnsi="Times New Roman"/>
          <w:sz w:val="20"/>
        </w:rPr>
      </w:pPr>
    </w:p>
    <w:tbl>
      <w:tblPr>
        <w:tblStyle w:val="GridTable1Light-Accent11"/>
        <w:tblW w:w="14035" w:type="dxa"/>
        <w:tblLook w:val="04A0" w:firstRow="1" w:lastRow="0" w:firstColumn="1" w:lastColumn="0" w:noHBand="0" w:noVBand="1"/>
      </w:tblPr>
      <w:tblGrid>
        <w:gridCol w:w="4399"/>
        <w:gridCol w:w="9636"/>
      </w:tblGrid>
      <w:tr w:rsidR="005C662F" w:rsidRPr="00D87D85" w14:paraId="45C481A7" w14:textId="77777777" w:rsidTr="005C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7239B825" w14:textId="6ACBE976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Category and subcategory, if applicable</w:t>
            </w:r>
          </w:p>
        </w:tc>
        <w:tc>
          <w:tcPr>
            <w:tcW w:w="9636" w:type="dxa"/>
          </w:tcPr>
          <w:p w14:paraId="2B5A643F" w14:textId="7D5FBBC7" w:rsidR="00424E67" w:rsidRPr="00D87D85" w:rsidRDefault="00952443" w:rsidP="007D755D">
            <w:pPr>
              <w:pStyle w:val="BodyText"/>
              <w:spacing w:before="0"/>
              <w:ind w:left="7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Diagnostic</w:t>
            </w:r>
            <w:r w:rsidR="0098112A" w:rsidRPr="00D87D85">
              <w:rPr>
                <w:rFonts w:ascii="Times New Roman" w:hAnsi="Times New Roman"/>
                <w:sz w:val="20"/>
              </w:rPr>
              <w:t xml:space="preserve"> codes</w:t>
            </w:r>
          </w:p>
        </w:tc>
      </w:tr>
      <w:tr w:rsidR="005C662F" w:rsidRPr="00D87D85" w14:paraId="09F81F86" w14:textId="0B80DD65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3FC1D43E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Peripheral/CNS</w:t>
            </w:r>
          </w:p>
        </w:tc>
        <w:tc>
          <w:tcPr>
            <w:tcW w:w="9636" w:type="dxa"/>
          </w:tcPr>
          <w:p w14:paraId="69BA3019" w14:textId="38417844" w:rsidR="00424E67" w:rsidRPr="00D87D85" w:rsidRDefault="00952443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ICD9 code 053.13, 072.72, 337.0, 337.1, 353–357, 377.33, 377.34, 377.41</w:t>
            </w:r>
          </w:p>
        </w:tc>
      </w:tr>
      <w:tr w:rsidR="005C662F" w:rsidRPr="00D87D85" w14:paraId="796717CB" w14:textId="26D42911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0EDE18B9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Osteoarthritis</w:t>
            </w:r>
          </w:p>
        </w:tc>
        <w:tc>
          <w:tcPr>
            <w:tcW w:w="9636" w:type="dxa"/>
          </w:tcPr>
          <w:p w14:paraId="34383FED" w14:textId="0390B2BB" w:rsidR="00424E67" w:rsidRPr="00D87D85" w:rsidRDefault="006E6B2F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CCS 203</w:t>
            </w:r>
          </w:p>
        </w:tc>
      </w:tr>
      <w:tr w:rsidR="005C662F" w:rsidRPr="00D87D85" w14:paraId="0027683C" w14:textId="6CF93D43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0308B57F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Back &amp; neck</w:t>
            </w:r>
          </w:p>
        </w:tc>
        <w:tc>
          <w:tcPr>
            <w:tcW w:w="9636" w:type="dxa"/>
          </w:tcPr>
          <w:p w14:paraId="30B02F33" w14:textId="0E524932" w:rsidR="00424E67" w:rsidRPr="00D87D85" w:rsidRDefault="006E6B2F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CCS 205 (includes subcategories below)</w:t>
            </w:r>
          </w:p>
        </w:tc>
      </w:tr>
      <w:tr w:rsidR="005C662F" w:rsidRPr="00D87D85" w14:paraId="7B27E1E1" w14:textId="720F74BE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02D687E4" w14:textId="1440BA96" w:rsidR="00424E67" w:rsidRPr="00D87D85" w:rsidRDefault="003C7839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424E67" w:rsidRPr="00D87D85">
              <w:rPr>
                <w:rFonts w:ascii="Times New Roman" w:hAnsi="Times New Roman"/>
                <w:sz w:val="20"/>
              </w:rPr>
              <w:t>Back – lumbago</w:t>
            </w:r>
          </w:p>
        </w:tc>
        <w:tc>
          <w:tcPr>
            <w:tcW w:w="9636" w:type="dxa"/>
          </w:tcPr>
          <w:p w14:paraId="55FE8639" w14:textId="07F7BCF9" w:rsidR="00424E67" w:rsidRPr="00D87D85" w:rsidRDefault="003C7839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517E9F" w:rsidRPr="00D87D85">
              <w:rPr>
                <w:rFonts w:ascii="Times New Roman" w:hAnsi="Times New Roman"/>
                <w:sz w:val="20"/>
              </w:rPr>
              <w:t xml:space="preserve"> </w:t>
            </w:r>
            <w:r w:rsidRPr="00D87D85">
              <w:rPr>
                <w:rFonts w:ascii="Times New Roman" w:hAnsi="Times New Roman"/>
                <w:sz w:val="20"/>
              </w:rPr>
              <w:t>CCS 13.3.3.3</w:t>
            </w:r>
          </w:p>
        </w:tc>
      </w:tr>
      <w:tr w:rsidR="005C662F" w:rsidRPr="00D87D85" w14:paraId="6931383B" w14:textId="20701373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44115D33" w14:textId="2CA08F35" w:rsidR="00424E67" w:rsidRPr="00D87D85" w:rsidRDefault="003C7839" w:rsidP="007919FB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424E67" w:rsidRPr="00D87D85">
              <w:rPr>
                <w:rFonts w:ascii="Times New Roman" w:hAnsi="Times New Roman"/>
                <w:sz w:val="20"/>
              </w:rPr>
              <w:t xml:space="preserve">Back &amp; neck – </w:t>
            </w:r>
            <w:proofErr w:type="spellStart"/>
            <w:r w:rsidR="00424E67" w:rsidRPr="00D87D85">
              <w:rPr>
                <w:rFonts w:ascii="Times New Roman" w:hAnsi="Times New Roman"/>
                <w:sz w:val="20"/>
              </w:rPr>
              <w:t>invertebral</w:t>
            </w:r>
            <w:proofErr w:type="spellEnd"/>
            <w:r w:rsidR="00424E67" w:rsidRPr="00D87D85">
              <w:rPr>
                <w:rFonts w:ascii="Times New Roman" w:hAnsi="Times New Roman"/>
                <w:sz w:val="20"/>
              </w:rPr>
              <w:t xml:space="preserve"> disc</w:t>
            </w:r>
          </w:p>
        </w:tc>
        <w:tc>
          <w:tcPr>
            <w:tcW w:w="9636" w:type="dxa"/>
          </w:tcPr>
          <w:p w14:paraId="06A6D4FC" w14:textId="4619570D" w:rsidR="00424E67" w:rsidRPr="00D87D85" w:rsidRDefault="003C7839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517E9F" w:rsidRPr="00D87D85">
              <w:rPr>
                <w:rFonts w:ascii="Times New Roman" w:hAnsi="Times New Roman"/>
                <w:sz w:val="20"/>
              </w:rPr>
              <w:t xml:space="preserve"> </w:t>
            </w:r>
            <w:r w:rsidRPr="00D87D85">
              <w:rPr>
                <w:rFonts w:ascii="Times New Roman" w:hAnsi="Times New Roman"/>
                <w:sz w:val="20"/>
              </w:rPr>
              <w:t>CCS 13.3.2</w:t>
            </w:r>
          </w:p>
        </w:tc>
      </w:tr>
      <w:tr w:rsidR="005C662F" w:rsidRPr="00D87D85" w14:paraId="60C86DC3" w14:textId="49456F7C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20470CF2" w14:textId="261EBB04" w:rsidR="00424E67" w:rsidRPr="00D87D85" w:rsidRDefault="003C7839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424E67" w:rsidRPr="00D87D85">
              <w:rPr>
                <w:rFonts w:ascii="Times New Roman" w:hAnsi="Times New Roman"/>
                <w:sz w:val="20"/>
              </w:rPr>
              <w:t>Back &amp; neck – cervicalgia</w:t>
            </w:r>
          </w:p>
        </w:tc>
        <w:tc>
          <w:tcPr>
            <w:tcW w:w="9636" w:type="dxa"/>
          </w:tcPr>
          <w:p w14:paraId="07D2BAC5" w14:textId="5CB3BFB2" w:rsidR="00424E67" w:rsidRPr="00D87D85" w:rsidRDefault="003C7839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517E9F" w:rsidRPr="00D87D85">
              <w:rPr>
                <w:rFonts w:ascii="Times New Roman" w:hAnsi="Times New Roman"/>
                <w:sz w:val="20"/>
              </w:rPr>
              <w:t xml:space="preserve"> </w:t>
            </w:r>
            <w:r w:rsidRPr="00D87D85">
              <w:rPr>
                <w:rFonts w:ascii="Times New Roman" w:hAnsi="Times New Roman"/>
                <w:sz w:val="20"/>
              </w:rPr>
              <w:t>ICD9 code 723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C662F" w:rsidRPr="00D87D85" w14:paraId="051C73E8" w14:textId="3A53DF6C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0427C77B" w14:textId="4EDC4ADE" w:rsidR="00424E67" w:rsidRPr="00D87D85" w:rsidRDefault="003C7839" w:rsidP="007919FB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7919FB">
              <w:rPr>
                <w:rFonts w:ascii="Times New Roman" w:hAnsi="Times New Roman"/>
                <w:sz w:val="20"/>
              </w:rPr>
              <w:t>Back &amp; neck – spondylosis</w:t>
            </w:r>
          </w:p>
        </w:tc>
        <w:tc>
          <w:tcPr>
            <w:tcW w:w="9636" w:type="dxa"/>
          </w:tcPr>
          <w:p w14:paraId="3EAF137E" w14:textId="4A2A0E24" w:rsidR="00424E67" w:rsidRPr="00D87D85" w:rsidRDefault="003C7839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</w:t>
            </w:r>
            <w:r w:rsidR="00517E9F" w:rsidRPr="00D87D85">
              <w:rPr>
                <w:rFonts w:ascii="Times New Roman" w:hAnsi="Times New Roman"/>
                <w:sz w:val="20"/>
              </w:rPr>
              <w:t xml:space="preserve"> </w:t>
            </w:r>
            <w:r w:rsidRPr="00D87D85">
              <w:rPr>
                <w:rFonts w:ascii="Times New Roman" w:hAnsi="Times New Roman"/>
                <w:sz w:val="20"/>
              </w:rPr>
              <w:t xml:space="preserve"> CCS 13.3.1</w:t>
            </w:r>
          </w:p>
        </w:tc>
      </w:tr>
      <w:tr w:rsidR="005C662F" w:rsidRPr="00D87D85" w14:paraId="5915C139" w14:textId="5D8B99C5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2F9743EE" w14:textId="1081D154" w:rsidR="00424E67" w:rsidRPr="00D87D85" w:rsidRDefault="003C7839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  </w:t>
            </w:r>
            <w:r w:rsidR="00424E67" w:rsidRPr="00D87D85">
              <w:rPr>
                <w:rFonts w:ascii="Times New Roman" w:hAnsi="Times New Roman"/>
                <w:sz w:val="20"/>
              </w:rPr>
              <w:t xml:space="preserve">Back &amp; neck – other </w:t>
            </w:r>
          </w:p>
        </w:tc>
        <w:tc>
          <w:tcPr>
            <w:tcW w:w="9636" w:type="dxa"/>
          </w:tcPr>
          <w:p w14:paraId="4F9701F8" w14:textId="2CFB7F05" w:rsidR="00424E67" w:rsidRPr="00D87D85" w:rsidRDefault="003C7839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Remainder of CCS 205 – same as CCS 13.3.3.1, 13.3.3.2, 13.3.3.4, 13.3.3.5, 13.3.3.6, 13.3.3.7 (excluding </w:t>
            </w:r>
            <w:r w:rsidR="0098112A" w:rsidRPr="00D87D85">
              <w:rPr>
                <w:rFonts w:ascii="Times New Roman" w:hAnsi="Times New Roman"/>
                <w:sz w:val="20"/>
              </w:rPr>
              <w:t>ICD9</w:t>
            </w:r>
            <w:r w:rsidR="00517E9F" w:rsidRPr="00D87D85">
              <w:rPr>
                <w:rFonts w:ascii="Times New Roman" w:hAnsi="Times New Roman"/>
                <w:sz w:val="20"/>
              </w:rPr>
              <w:t xml:space="preserve"> 723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="00517E9F" w:rsidRPr="00D87D85">
              <w:rPr>
                <w:rFonts w:ascii="Times New Roman" w:hAnsi="Times New Roman"/>
                <w:sz w:val="20"/>
              </w:rPr>
              <w:t>1)</w:t>
            </w:r>
          </w:p>
        </w:tc>
      </w:tr>
      <w:tr w:rsidR="005C662F" w:rsidRPr="00D87D85" w14:paraId="22A0A362" w14:textId="6F33540B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32A297A7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Headache/migraine</w:t>
            </w:r>
          </w:p>
        </w:tc>
        <w:tc>
          <w:tcPr>
            <w:tcW w:w="9636" w:type="dxa"/>
          </w:tcPr>
          <w:p w14:paraId="1F2C18BE" w14:textId="5D37A5DF" w:rsidR="00424E67" w:rsidRPr="00D87D85" w:rsidRDefault="00517E9F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CCS 84</w:t>
            </w:r>
          </w:p>
        </w:tc>
      </w:tr>
      <w:tr w:rsidR="005C662F" w:rsidRPr="00D87D85" w14:paraId="6BE38F26" w14:textId="79BDF67B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07A8A58C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Non-traumatic joint disorders</w:t>
            </w:r>
          </w:p>
        </w:tc>
        <w:tc>
          <w:tcPr>
            <w:tcW w:w="9636" w:type="dxa"/>
          </w:tcPr>
          <w:p w14:paraId="07A5B523" w14:textId="3AE34D61" w:rsidR="00424E67" w:rsidRPr="00D87D85" w:rsidRDefault="00517E9F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CCS 204</w:t>
            </w:r>
          </w:p>
        </w:tc>
      </w:tr>
      <w:tr w:rsidR="005C662F" w:rsidRPr="00D87D85" w14:paraId="1BEFCD2B" w14:textId="7B22BB48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13F793DA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Other musculoskeletal</w:t>
            </w:r>
          </w:p>
        </w:tc>
        <w:tc>
          <w:tcPr>
            <w:tcW w:w="9636" w:type="dxa"/>
          </w:tcPr>
          <w:p w14:paraId="7E77A281" w14:textId="4553D1FB" w:rsidR="00424E67" w:rsidRPr="00D87D85" w:rsidRDefault="00517E9F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CCS 202</w:t>
            </w:r>
            <w:r w:rsidR="00952443" w:rsidRPr="00D87D85">
              <w:rPr>
                <w:rFonts w:ascii="Times New Roman" w:hAnsi="Times New Roman"/>
                <w:sz w:val="20"/>
              </w:rPr>
              <w:t xml:space="preserve">; </w:t>
            </w:r>
            <w:r w:rsidR="0098112A" w:rsidRPr="00D87D85">
              <w:rPr>
                <w:rFonts w:ascii="Times New Roman" w:hAnsi="Times New Roman"/>
                <w:sz w:val="20"/>
              </w:rPr>
              <w:t xml:space="preserve">ICD9 711.x(1-3), 712.x(1-3), 715.x(1-3), 716.x(2-3), 718 4th digit (0,1,4,5,8) 5th digit (1-3), 719.x, 721.0x, 721.1x, 722.0x, 722.31, 722.4, 722.71, 722.81, 722.91, 723.xx, </w:t>
            </w:r>
            <w:r w:rsidR="00952443" w:rsidRPr="00D87D85">
              <w:rPr>
                <w:rFonts w:ascii="Times New Roman" w:hAnsi="Times New Roman"/>
                <w:sz w:val="20"/>
              </w:rPr>
              <w:t>725, 726 (except 726.70, 726.73, 726.79, 726.91),</w:t>
            </w:r>
            <w:r w:rsidR="00532814">
              <w:rPr>
                <w:rFonts w:ascii="Times New Roman" w:hAnsi="Times New Roman"/>
                <w:sz w:val="20"/>
              </w:rPr>
              <w:t xml:space="preserve"> 727.61-727.62,</w:t>
            </w:r>
            <w:r w:rsidR="00952443" w:rsidRPr="00D87D85">
              <w:rPr>
                <w:rFonts w:ascii="Times New Roman" w:hAnsi="Times New Roman"/>
                <w:sz w:val="20"/>
              </w:rPr>
              <w:t xml:space="preserve"> 728.11, 728.12, 728.81, 728.83, 728.86, 728.89, 728.9, 729 (except 729.2, 729.3, 729.6, 729.81, 729.82), </w:t>
            </w:r>
            <w:r w:rsidR="0098112A" w:rsidRPr="00D87D85">
              <w:rPr>
                <w:rFonts w:ascii="Times New Roman" w:hAnsi="Times New Roman"/>
                <w:sz w:val="20"/>
              </w:rPr>
              <w:t xml:space="preserve">730.x(1-3), </w:t>
            </w:r>
            <w:r w:rsidR="00952443" w:rsidRPr="00D87D85">
              <w:rPr>
                <w:rFonts w:ascii="Times New Roman" w:hAnsi="Times New Roman"/>
                <w:sz w:val="20"/>
              </w:rPr>
              <w:t>781.99, 830–848, 905.6, 905.7, V43.6, V43.7, V48.3, V49.6, V49.7</w:t>
            </w:r>
          </w:p>
        </w:tc>
      </w:tr>
      <w:tr w:rsidR="005C662F" w:rsidRPr="00D87D85" w14:paraId="34DC19FD" w14:textId="4EA217B0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599E9C39" w14:textId="77777777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Visceral/pelvic</w:t>
            </w:r>
          </w:p>
        </w:tc>
        <w:tc>
          <w:tcPr>
            <w:tcW w:w="9636" w:type="dxa"/>
          </w:tcPr>
          <w:p w14:paraId="3B739946" w14:textId="3DDFDF22" w:rsidR="00424E67" w:rsidRPr="00D87D85" w:rsidRDefault="00952443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CCS 251; </w:t>
            </w:r>
            <w:r w:rsidR="0098112A" w:rsidRPr="00D87D85">
              <w:rPr>
                <w:rFonts w:ascii="Times New Roman" w:hAnsi="Times New Roman"/>
                <w:sz w:val="20"/>
              </w:rPr>
              <w:t xml:space="preserve">ICD9 550 (except 550.9), 551.0–551.2, 552.0–552.2, 560.81, 562.01, 562.03, 562.11, 562.13, 567.2, 567.8, 569.5, 574, 575.0, 575.1, 577.0, 577.1, 592, 594, 596, </w:t>
            </w:r>
            <w:r w:rsidRPr="00D87D85">
              <w:rPr>
                <w:rFonts w:ascii="Times New Roman" w:hAnsi="Times New Roman"/>
                <w:sz w:val="20"/>
              </w:rPr>
              <w:t>614, 615, 616.11, 616.2–616.9, 617, 625.1–625.3, 625.5, 625.7, 625.8 626.3, 626.5</w:t>
            </w:r>
            <w:r w:rsidR="0098112A" w:rsidRPr="00D87D85">
              <w:rPr>
                <w:rFonts w:ascii="Times New Roman" w:hAnsi="Times New Roman"/>
                <w:sz w:val="20"/>
              </w:rPr>
              <w:t xml:space="preserve">, </w:t>
            </w:r>
            <w:r w:rsidRPr="00D87D85">
              <w:rPr>
                <w:rFonts w:ascii="Times New Roman" w:hAnsi="Times New Roman"/>
                <w:sz w:val="20"/>
              </w:rPr>
              <w:t>788.0, 789.0, 789.6</w:t>
            </w:r>
          </w:p>
        </w:tc>
      </w:tr>
      <w:tr w:rsidR="005C662F" w:rsidRPr="00D87D85" w14:paraId="29F10505" w14:textId="5CCBE034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7ADDCC3C" w14:textId="45D43D09" w:rsidR="00424E67" w:rsidRPr="00D87D85" w:rsidRDefault="00424E67" w:rsidP="007D755D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Wounds/injury</w:t>
            </w:r>
            <w:r w:rsidR="00896560" w:rsidRPr="00D87D85">
              <w:rPr>
                <w:rFonts w:ascii="Times New Roman" w:hAnsi="Times New Roman"/>
                <w:sz w:val="20"/>
              </w:rPr>
              <w:t>/fractures</w:t>
            </w:r>
          </w:p>
        </w:tc>
        <w:tc>
          <w:tcPr>
            <w:tcW w:w="9636" w:type="dxa"/>
          </w:tcPr>
          <w:p w14:paraId="14651990" w14:textId="45A81924" w:rsidR="00424E67" w:rsidRPr="00D87D85" w:rsidRDefault="0098112A" w:rsidP="00B3186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ICD9 353.6, </w:t>
            </w:r>
            <w:r w:rsidR="007D755D" w:rsidRPr="00D87D85">
              <w:rPr>
                <w:rFonts w:ascii="Times New Roman" w:hAnsi="Times New Roman"/>
                <w:sz w:val="20"/>
              </w:rPr>
              <w:t xml:space="preserve">376.47, </w:t>
            </w:r>
            <w:r w:rsidRPr="00D87D85">
              <w:rPr>
                <w:rFonts w:ascii="Times New Roman" w:hAnsi="Times New Roman"/>
                <w:sz w:val="20"/>
              </w:rPr>
              <w:t xml:space="preserve">733.1, 733.93–733.98, 800–829, </w:t>
            </w:r>
            <w:r w:rsidR="00952443" w:rsidRPr="00D87D85">
              <w:rPr>
                <w:rFonts w:ascii="Times New Roman" w:hAnsi="Times New Roman"/>
                <w:sz w:val="20"/>
              </w:rPr>
              <w:t xml:space="preserve">860–887 (except 873.63), 890–897, 900–904, </w:t>
            </w:r>
            <w:r w:rsidRPr="00D87D85">
              <w:rPr>
                <w:rFonts w:ascii="Times New Roman" w:hAnsi="Times New Roman"/>
                <w:sz w:val="20"/>
              </w:rPr>
              <w:t xml:space="preserve">905.0–905.5, </w:t>
            </w:r>
            <w:r w:rsidR="00952443" w:rsidRPr="00D87D85">
              <w:rPr>
                <w:rFonts w:ascii="Times New Roman" w:hAnsi="Times New Roman"/>
                <w:sz w:val="20"/>
              </w:rPr>
              <w:t>905.8, 905.9, 906, 907.2, 908.0–908.4, 925–929, 940–949, 952</w:t>
            </w:r>
            <w:r w:rsidRPr="00D87D85">
              <w:rPr>
                <w:rFonts w:ascii="Times New Roman" w:hAnsi="Times New Roman"/>
                <w:sz w:val="20"/>
              </w:rPr>
              <w:t>,</w:t>
            </w:r>
            <w:r w:rsidR="00952443" w:rsidRPr="00D87D85">
              <w:rPr>
                <w:rFonts w:ascii="Times New Roman" w:hAnsi="Times New Roman"/>
                <w:sz w:val="20"/>
              </w:rPr>
              <w:t xml:space="preserve"> </w:t>
            </w:r>
            <w:r w:rsidR="007D755D" w:rsidRPr="00D87D85">
              <w:rPr>
                <w:rFonts w:ascii="Times New Roman" w:hAnsi="Times New Roman"/>
                <w:sz w:val="20"/>
              </w:rPr>
              <w:t xml:space="preserve">997.6, </w:t>
            </w:r>
            <w:r w:rsidR="00952443" w:rsidRPr="00D87D85">
              <w:rPr>
                <w:rFonts w:ascii="Times New Roman" w:hAnsi="Times New Roman"/>
                <w:sz w:val="20"/>
              </w:rPr>
              <w:t xml:space="preserve">V13.51, V13.52, </w:t>
            </w:r>
            <w:r w:rsidR="007D755D" w:rsidRPr="00D87D85">
              <w:rPr>
                <w:rFonts w:ascii="Times New Roman" w:hAnsi="Times New Roman"/>
                <w:sz w:val="20"/>
              </w:rPr>
              <w:t xml:space="preserve">V49.6, V49.7, </w:t>
            </w:r>
            <w:r w:rsidR="00952443" w:rsidRPr="00D87D85">
              <w:rPr>
                <w:rFonts w:ascii="Times New Roman" w:hAnsi="Times New Roman"/>
                <w:sz w:val="20"/>
              </w:rPr>
              <w:t>V54.0–V54.2, V66.4, V67.4</w:t>
            </w:r>
            <w:r w:rsidR="007D755D" w:rsidRPr="00D87D85">
              <w:rPr>
                <w:rFonts w:ascii="Times New Roman" w:hAnsi="Times New Roman"/>
                <w:sz w:val="20"/>
              </w:rPr>
              <w:t>,</w:t>
            </w:r>
            <w:r w:rsidR="00952443" w:rsidRPr="00D87D8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C662F" w:rsidRPr="00D87D85" w14:paraId="63014994" w14:textId="66D8839F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45016EB7" w14:textId="32D243F7" w:rsidR="00424E67" w:rsidRPr="00D87D85" w:rsidRDefault="00896560" w:rsidP="00276801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Acute </w:t>
            </w:r>
          </w:p>
        </w:tc>
        <w:tc>
          <w:tcPr>
            <w:tcW w:w="9636" w:type="dxa"/>
          </w:tcPr>
          <w:p w14:paraId="1B3E48F3" w14:textId="1E76770D" w:rsidR="00EE6D9D" w:rsidRPr="00D87D85" w:rsidRDefault="00EE6D9D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ICD9 code </w:t>
            </w:r>
            <w:r w:rsidR="00896560" w:rsidRPr="00D87D85">
              <w:rPr>
                <w:rFonts w:ascii="Times New Roman" w:hAnsi="Times New Roman"/>
                <w:sz w:val="20"/>
              </w:rPr>
              <w:t>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="00896560" w:rsidRPr="00D87D85">
              <w:rPr>
                <w:rFonts w:ascii="Times New Roman" w:hAnsi="Times New Roman"/>
                <w:sz w:val="20"/>
              </w:rPr>
              <w:t xml:space="preserve">11, </w:t>
            </w:r>
            <w:r w:rsidRPr="00D87D85">
              <w:rPr>
                <w:rFonts w:ascii="Times New Roman" w:hAnsi="Times New Roman"/>
                <w:sz w:val="20"/>
              </w:rPr>
              <w:t>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12, 338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18</w:t>
            </w:r>
            <w:r w:rsidR="00896560" w:rsidRPr="00D87D85">
              <w:rPr>
                <w:rFonts w:ascii="Times New Roman" w:hAnsi="Times New Roman"/>
                <w:sz w:val="20"/>
              </w:rPr>
              <w:t>, 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="00896560" w:rsidRPr="00D87D85">
              <w:rPr>
                <w:rFonts w:ascii="Times New Roman" w:hAnsi="Times New Roman"/>
                <w:sz w:val="20"/>
              </w:rPr>
              <w:t>19</w:t>
            </w:r>
          </w:p>
        </w:tc>
      </w:tr>
      <w:tr w:rsidR="005C662F" w:rsidRPr="00D87D85" w14:paraId="5532A9E7" w14:textId="3F81521E" w:rsidTr="005C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14:paraId="4370B092" w14:textId="7EBBE353" w:rsidR="00424E67" w:rsidRPr="00D87D85" w:rsidRDefault="00424E67" w:rsidP="00276801">
            <w:pPr>
              <w:pStyle w:val="BodyText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 xml:space="preserve">Chronic </w:t>
            </w:r>
            <w:r w:rsidR="00276801">
              <w:rPr>
                <w:rFonts w:ascii="Times New Roman" w:hAnsi="Times New Roman"/>
                <w:sz w:val="20"/>
              </w:rPr>
              <w:t>non-specific</w:t>
            </w:r>
          </w:p>
        </w:tc>
        <w:tc>
          <w:tcPr>
            <w:tcW w:w="9636" w:type="dxa"/>
          </w:tcPr>
          <w:p w14:paraId="5F381972" w14:textId="3363A61C" w:rsidR="00424E67" w:rsidRPr="00D87D85" w:rsidRDefault="00EE6D9D" w:rsidP="007D755D">
            <w:pPr>
              <w:pStyle w:val="BodyText"/>
              <w:spacing w:before="0"/>
              <w:ind w:left="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D87D85">
              <w:rPr>
                <w:rFonts w:ascii="Times New Roman" w:hAnsi="Times New Roman"/>
                <w:sz w:val="20"/>
              </w:rPr>
              <w:t>ICD9 code 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21, 338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28, 338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29, 338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4, 780</w:t>
            </w:r>
            <w:r w:rsidR="0098112A" w:rsidRPr="00D87D85">
              <w:rPr>
                <w:rFonts w:ascii="Times New Roman" w:hAnsi="Times New Roman"/>
                <w:sz w:val="20"/>
              </w:rPr>
              <w:t>.</w:t>
            </w:r>
            <w:r w:rsidRPr="00D87D85">
              <w:rPr>
                <w:rFonts w:ascii="Times New Roman" w:hAnsi="Times New Roman"/>
                <w:sz w:val="20"/>
              </w:rPr>
              <w:t>96</w:t>
            </w:r>
          </w:p>
        </w:tc>
      </w:tr>
    </w:tbl>
    <w:p w14:paraId="0122EA6F" w14:textId="77777777" w:rsidR="009A676F" w:rsidRPr="00D87D85" w:rsidRDefault="009A676F" w:rsidP="009A676F">
      <w:pPr>
        <w:pStyle w:val="BodyText"/>
        <w:spacing w:before="0"/>
        <w:ind w:firstLine="0"/>
        <w:rPr>
          <w:rFonts w:ascii="Times New Roman" w:hAnsi="Times New Roman"/>
          <w:sz w:val="20"/>
        </w:rPr>
      </w:pPr>
    </w:p>
    <w:p w14:paraId="4872C6CA" w14:textId="13914668" w:rsidR="00D87D85" w:rsidRPr="00D87D85" w:rsidRDefault="00D87D85" w:rsidP="00532FCA">
      <w:pPr>
        <w:pStyle w:val="BodyText"/>
        <w:spacing w:before="0"/>
        <w:ind w:firstLine="0"/>
        <w:rPr>
          <w:rFonts w:ascii="Times New Roman" w:hAnsi="Times New Roman"/>
          <w:sz w:val="20"/>
        </w:rPr>
      </w:pPr>
      <w:r w:rsidRPr="00D87D85">
        <w:rPr>
          <w:rFonts w:ascii="Times New Roman" w:hAnsi="Times New Roman"/>
          <w:sz w:val="20"/>
        </w:rPr>
        <w:t>We defined each pain category based on presence of ICD-9-CM diagnosis codes, using a health services research diagnostic code grouper system (Clinical Classifications Software (CCS)</w:t>
      </w:r>
      <w:r w:rsidRPr="00D87D85">
        <w:rPr>
          <w:rFonts w:ascii="Times New Roman" w:hAnsi="Times New Roman"/>
          <w:sz w:val="20"/>
        </w:rPr>
        <w:fldChar w:fldCharType="begin"/>
      </w:r>
      <w:r w:rsidRPr="00D87D85">
        <w:rPr>
          <w:rFonts w:ascii="Times New Roman" w:hAnsi="Times New Roman"/>
          <w:sz w:val="20"/>
        </w:rPr>
        <w:instrText xml:space="preserve"> ADDIN EN.CITE &lt;EndNote&gt;&lt;Cite&gt;&lt;Author&gt;Agency for Healthcare Research and Quality - Healthcare Cost and Utilization Project (HCUP)&lt;/Author&gt;&lt;Year&gt;2014&lt;/Year&gt;&lt;RecNum&gt;1026&lt;/RecNum&gt;&lt;DisplayText&gt;&lt;style face="superscript"&gt;1&lt;/style&gt;&lt;/DisplayText&gt;&lt;record&gt;&lt;rec-number&gt;1026&lt;/rec-number&gt;&lt;foreign-keys&gt;&lt;key app="EN" db-id="fxw0z50rr2w9rqezvxyxpv95zsz2d00s5tdz" timestamp="1484583739"&gt;1026&lt;/key&gt;&lt;/foreign-keys&gt;&lt;ref-type name="Web Page"&gt;12&lt;/ref-type&gt;&lt;contributors&gt;&lt;authors&gt;&lt;author&gt;Agency for Healthcare Research and Quality - Healthcare Cost and Utilization Project (HCUP),&lt;/author&gt;&lt;/authors&gt;&lt;/contributors&gt;&lt;titles&gt;&lt;title&gt;Clinical Classifications Software (CCS)&lt;/title&gt;&lt;/titles&gt;&lt;volume&gt;2016&lt;/volume&gt;&lt;number&gt;Jan 17&lt;/number&gt;&lt;dates&gt;&lt;year&gt;2014&lt;/year&gt;&lt;/dates&gt;&lt;urls&gt;&lt;related-urls&gt;&lt;url&gt;https://hcup-us.ahrq.gov/toolssoftware/ccs/CCSUsersGuide.pdf&lt;/url&gt;&lt;/related-urls&gt;&lt;/urls&gt;&lt;/record&gt;&lt;/Cite&gt;&lt;/EndNote&gt;</w:instrText>
      </w:r>
      <w:r w:rsidRPr="00D87D85">
        <w:rPr>
          <w:rFonts w:ascii="Times New Roman" w:hAnsi="Times New Roman"/>
          <w:sz w:val="20"/>
        </w:rPr>
        <w:fldChar w:fldCharType="separate"/>
      </w:r>
      <w:r w:rsidRPr="00D87D85">
        <w:rPr>
          <w:rFonts w:ascii="Times New Roman" w:hAnsi="Times New Roman"/>
          <w:noProof/>
          <w:sz w:val="20"/>
          <w:vertAlign w:val="superscript"/>
        </w:rPr>
        <w:t>1</w:t>
      </w:r>
      <w:r w:rsidRPr="00D87D85">
        <w:rPr>
          <w:rFonts w:ascii="Times New Roman" w:hAnsi="Times New Roman"/>
          <w:sz w:val="20"/>
        </w:rPr>
        <w:fldChar w:fldCharType="end"/>
      </w:r>
      <w:r w:rsidRPr="00D87D85">
        <w:rPr>
          <w:rFonts w:ascii="Times New Roman" w:hAnsi="Times New Roman"/>
          <w:sz w:val="20"/>
        </w:rPr>
        <w:t xml:space="preserve">) and prior research on Veteran and military populations. First, if a CCS code or a unique ICD-9-CM diagnostic code existed for that category (e.g., osteoarthritis), we relied on those codes. Second, in the absence of a unique CCS or ICD-9-CM code, for categories that included multiple types of diagnoses (e.g., back and neck pain), we relied on a </w:t>
      </w:r>
      <w:r w:rsidRPr="00D87D85">
        <w:rPr>
          <w:rFonts w:ascii="Times New Roman" w:hAnsi="Times New Roman"/>
          <w:i/>
          <w:sz w:val="20"/>
        </w:rPr>
        <w:t>VA Office of the Inspector General Report</w:t>
      </w:r>
      <w:r w:rsidRPr="00D87D85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ADDIN EN.CITE &lt;EndNote&gt;&lt;Cite&gt;&lt;Author&gt;Department of Veterans Affairs - Office of Inspector General&lt;/Author&gt;&lt;Year&gt;2014&lt;/Year&gt;&lt;RecNum&gt;602&lt;/RecNum&gt;&lt;DisplayText&gt;&lt;style face="superscript"&gt;2&lt;/style&gt;&lt;/DisplayText&gt;&lt;record&gt;&lt;rec-number&gt;602&lt;/rec-number&gt;&lt;foreign-keys&gt;&lt;key app="EN" db-id="fxw0z50rr2w9rqezvxyxpv95zsz2d00s5tdz" timestamp="1429040418"&gt;602&lt;/key&gt;&lt;/foreign-keys&gt;&lt;ref-type name="Web Page"&gt;12&lt;/ref-type&gt;&lt;contributors&gt;&lt;authors&gt;&lt;author&gt;Department of Veterans Affairs - Office of Inspector General,&lt;/author&gt;&lt;/authors&gt;&lt;/contributors&gt;&lt;titles&gt;&lt;title&gt;Healthcare Inspection - VA Patterns of Dispensing Take-Home Opioids and Monitoring Patients on Opioid Therapy&lt;/title&gt;&lt;/titles&gt;&lt;volume&gt;2017&lt;/volume&gt;&lt;number&gt;July 14&lt;/number&gt;&lt;dates&gt;&lt;year&gt;2014&lt;/year&gt;&lt;/dates&gt;&lt;pub-location&gt;Washington, DC&lt;/pub-location&gt;&lt;publisher&gt;Office of Healthcare Inspections&lt;/publisher&gt;&lt;isbn&gt;14-00895-163&lt;/isbn&gt;&lt;urls&gt;&lt;related-urls&gt;&lt;url&gt;https://www.va.gov/oig/pubs/VAOIG-14-00895-163.pdf&lt;/url&gt;&lt;/related-urls&gt;&lt;/urls&gt;&lt;/record&gt;&lt;/Cite&gt;&lt;/EndNote&gt;</w:instrText>
      </w:r>
      <w:r w:rsidRPr="00D87D85">
        <w:rPr>
          <w:rFonts w:ascii="Times New Roman" w:hAnsi="Times New Roman"/>
          <w:sz w:val="20"/>
        </w:rPr>
        <w:fldChar w:fldCharType="separate"/>
      </w:r>
      <w:r w:rsidRPr="00D87D85">
        <w:rPr>
          <w:rFonts w:ascii="Times New Roman" w:hAnsi="Times New Roman"/>
          <w:noProof/>
          <w:sz w:val="20"/>
          <w:vertAlign w:val="superscript"/>
        </w:rPr>
        <w:t>2</w:t>
      </w:r>
      <w:r w:rsidRPr="00D87D85">
        <w:rPr>
          <w:rFonts w:ascii="Times New Roman" w:hAnsi="Times New Roman"/>
          <w:sz w:val="20"/>
        </w:rPr>
        <w:fldChar w:fldCharType="end"/>
      </w:r>
      <w:r w:rsidRPr="00D87D85">
        <w:rPr>
          <w:rFonts w:ascii="Times New Roman" w:hAnsi="Times New Roman"/>
          <w:sz w:val="20"/>
        </w:rPr>
        <w:t xml:space="preserve"> for specific diagnosis codes. Last, we supplemented specific pain categories with diagnosis codes found in military-specific literature.</w:t>
      </w:r>
    </w:p>
    <w:p w14:paraId="36800E15" w14:textId="77777777" w:rsidR="00D87D85" w:rsidRPr="00D87D85" w:rsidRDefault="00D87D85" w:rsidP="00532FCA">
      <w:pPr>
        <w:pStyle w:val="BodyText"/>
        <w:spacing w:before="0"/>
        <w:ind w:firstLine="0"/>
        <w:rPr>
          <w:rFonts w:ascii="Times New Roman" w:hAnsi="Times New Roman"/>
          <w:sz w:val="20"/>
        </w:rPr>
      </w:pPr>
    </w:p>
    <w:p w14:paraId="3C5C3E8D" w14:textId="5582C04A" w:rsidR="00D87D85" w:rsidRPr="00D87D85" w:rsidRDefault="00D87D85" w:rsidP="00D87D85">
      <w:pPr>
        <w:pStyle w:val="EndNoteBibliography"/>
        <w:ind w:left="720" w:hanging="720"/>
        <w:rPr>
          <w:rFonts w:ascii="Times New Roman" w:hAnsi="Times New Roman"/>
          <w:sz w:val="20"/>
        </w:rPr>
      </w:pPr>
      <w:r w:rsidRPr="00D87D85">
        <w:rPr>
          <w:rFonts w:ascii="Times New Roman" w:hAnsi="Times New Roman"/>
          <w:sz w:val="20"/>
        </w:rPr>
        <w:fldChar w:fldCharType="begin"/>
      </w:r>
      <w:r w:rsidRPr="00D87D85">
        <w:rPr>
          <w:rFonts w:ascii="Times New Roman" w:hAnsi="Times New Roman"/>
          <w:sz w:val="20"/>
        </w:rPr>
        <w:instrText xml:space="preserve"> ADDIN EN.REFLIST </w:instrText>
      </w:r>
      <w:r w:rsidRPr="00D87D85">
        <w:rPr>
          <w:rFonts w:ascii="Times New Roman" w:hAnsi="Times New Roman"/>
          <w:sz w:val="20"/>
        </w:rPr>
        <w:fldChar w:fldCharType="separate"/>
      </w:r>
      <w:r w:rsidRPr="00D87D85">
        <w:rPr>
          <w:rFonts w:ascii="Times New Roman" w:hAnsi="Times New Roman"/>
          <w:sz w:val="20"/>
        </w:rPr>
        <w:t>1.</w:t>
      </w:r>
      <w:r w:rsidRPr="00D87D85">
        <w:rPr>
          <w:rFonts w:ascii="Times New Roman" w:hAnsi="Times New Roman"/>
          <w:sz w:val="20"/>
        </w:rPr>
        <w:tab/>
        <w:t xml:space="preserve">Agency for Healthcare Research and Quality - Healthcare Cost and Utilization Project (HCUP). Clinical Classifications Software (CCS). 2014; </w:t>
      </w:r>
      <w:hyperlink r:id="rId10" w:history="1">
        <w:r w:rsidRPr="00D87D85">
          <w:rPr>
            <w:rStyle w:val="Hyperlink"/>
            <w:rFonts w:ascii="Times New Roman" w:hAnsi="Times New Roman"/>
            <w:sz w:val="20"/>
          </w:rPr>
          <w:t>https://hcup-us.ahrq.gov/toolssoftware/ccs/CCSUsersGuide.pdf</w:t>
        </w:r>
      </w:hyperlink>
      <w:r w:rsidRPr="00D87D85">
        <w:rPr>
          <w:rFonts w:ascii="Times New Roman" w:hAnsi="Times New Roman"/>
          <w:sz w:val="20"/>
        </w:rPr>
        <w:t>. Accessed Jan 17, 2016.</w:t>
      </w:r>
    </w:p>
    <w:p w14:paraId="5BB81DE8" w14:textId="21C8029D" w:rsidR="00D87D85" w:rsidRPr="00D87D85" w:rsidRDefault="00D87D85" w:rsidP="00D87D85">
      <w:pPr>
        <w:pStyle w:val="EndNoteBibliography"/>
        <w:ind w:left="720" w:hanging="720"/>
        <w:rPr>
          <w:rFonts w:ascii="Times New Roman" w:hAnsi="Times New Roman"/>
          <w:sz w:val="20"/>
        </w:rPr>
      </w:pPr>
      <w:r w:rsidRPr="00D87D85">
        <w:rPr>
          <w:rFonts w:ascii="Times New Roman" w:hAnsi="Times New Roman"/>
          <w:sz w:val="20"/>
        </w:rPr>
        <w:t>2.</w:t>
      </w:r>
      <w:r w:rsidRPr="00D87D85">
        <w:rPr>
          <w:rFonts w:ascii="Times New Roman" w:hAnsi="Times New Roman"/>
          <w:sz w:val="20"/>
        </w:rPr>
        <w:tab/>
        <w:t xml:space="preserve">Department of Veterans Affairs - Office of Inspector General. Healthcare Inspection - VA Patterns of Dispensing Take-Home Opioids and Monitoring Patients on Opioid Therapy. 2014; </w:t>
      </w:r>
      <w:hyperlink r:id="rId11" w:history="1">
        <w:r w:rsidRPr="00D87D85">
          <w:rPr>
            <w:rStyle w:val="Hyperlink"/>
            <w:rFonts w:ascii="Times New Roman" w:hAnsi="Times New Roman"/>
            <w:sz w:val="20"/>
          </w:rPr>
          <w:t>https://www.va.gov/oig/pubs/VAOIG-14-00895-163.pdf</w:t>
        </w:r>
      </w:hyperlink>
      <w:r w:rsidRPr="00D87D85">
        <w:rPr>
          <w:rFonts w:ascii="Times New Roman" w:hAnsi="Times New Roman"/>
          <w:sz w:val="20"/>
        </w:rPr>
        <w:t>. Accessed July 14, 2017.</w:t>
      </w:r>
    </w:p>
    <w:p w14:paraId="5E6B17BB" w14:textId="42F8BEAF" w:rsidR="0086057B" w:rsidRDefault="00D87D85" w:rsidP="00532FCA">
      <w:pPr>
        <w:pStyle w:val="BodyText"/>
        <w:spacing w:before="0"/>
        <w:ind w:firstLine="0"/>
        <w:rPr>
          <w:rFonts w:ascii="Times New Roman" w:hAnsi="Times New Roman"/>
          <w:sz w:val="20"/>
        </w:rPr>
      </w:pPr>
      <w:r w:rsidRPr="00D87D85">
        <w:rPr>
          <w:rFonts w:ascii="Times New Roman" w:hAnsi="Times New Roman"/>
          <w:sz w:val="20"/>
        </w:rPr>
        <w:fldChar w:fldCharType="end"/>
      </w:r>
    </w:p>
    <w:p w14:paraId="54F1160B" w14:textId="17503561" w:rsidR="00167978" w:rsidRPr="00D87D85" w:rsidRDefault="002D6D41" w:rsidP="002D6D41">
      <w:pPr>
        <w:pStyle w:val="BodyText"/>
        <w:ind w:firstLine="0"/>
        <w:rPr>
          <w:rFonts w:ascii="Times New Roman" w:hAnsi="Times New Roman"/>
          <w:sz w:val="20"/>
        </w:rPr>
      </w:pPr>
      <w:r w:rsidRPr="002D6D41">
        <w:rPr>
          <w:rFonts w:ascii="Times New Roman" w:hAnsi="Times New Roman"/>
          <w:sz w:val="20"/>
        </w:rPr>
        <w:t xml:space="preserve">This study was funded by the </w:t>
      </w:r>
      <w:r w:rsidR="00575EC0">
        <w:rPr>
          <w:rFonts w:ascii="Times New Roman" w:hAnsi="Times New Roman"/>
          <w:sz w:val="20"/>
        </w:rPr>
        <w:t xml:space="preserve">NIH </w:t>
      </w:r>
      <w:r w:rsidRPr="002D6D41">
        <w:rPr>
          <w:rFonts w:ascii="Times New Roman" w:hAnsi="Times New Roman"/>
          <w:sz w:val="20"/>
        </w:rPr>
        <w:t>National Center for Complementary and</w:t>
      </w:r>
      <w:r>
        <w:rPr>
          <w:rFonts w:ascii="Times New Roman" w:hAnsi="Times New Roman"/>
          <w:sz w:val="20"/>
        </w:rPr>
        <w:t xml:space="preserve"> </w:t>
      </w:r>
      <w:r w:rsidRPr="002D6D41">
        <w:rPr>
          <w:rFonts w:ascii="Times New Roman" w:hAnsi="Times New Roman"/>
          <w:sz w:val="20"/>
        </w:rPr>
        <w:t>Integrative Health (NCCIH; R01 AT008404</w:t>
      </w:r>
      <w:r>
        <w:rPr>
          <w:rFonts w:ascii="Times New Roman" w:hAnsi="Times New Roman"/>
          <w:sz w:val="20"/>
        </w:rPr>
        <w:t>; Mary Jo Larson, PI</w:t>
      </w:r>
      <w:r w:rsidRPr="002D6D41">
        <w:rPr>
          <w:rFonts w:ascii="Times New Roman" w:hAnsi="Times New Roman"/>
          <w:sz w:val="20"/>
        </w:rPr>
        <w:t>).</w:t>
      </w:r>
    </w:p>
    <w:sectPr w:rsidR="00167978" w:rsidRPr="00D87D85" w:rsidSect="00D87D85">
      <w:footerReference w:type="even" r:id="rId12"/>
      <w:footerReference w:type="default" r:id="rId13"/>
      <w:footerReference w:type="first" r:id="rId14"/>
      <w:pgSz w:w="15840" w:h="12240" w:orient="landscape" w:code="1"/>
      <w:pgMar w:top="720" w:right="1080" w:bottom="720" w:left="990" w:header="96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9A2A" w14:textId="77777777" w:rsidR="00973E49" w:rsidRDefault="00973E49">
      <w:r>
        <w:separator/>
      </w:r>
    </w:p>
    <w:p w14:paraId="78152FAC" w14:textId="77777777" w:rsidR="00973E49" w:rsidRDefault="00973E49"/>
  </w:endnote>
  <w:endnote w:type="continuationSeparator" w:id="0">
    <w:p w14:paraId="334FD0A4" w14:textId="77777777" w:rsidR="00973E49" w:rsidRDefault="00973E49">
      <w:r>
        <w:continuationSeparator/>
      </w:r>
    </w:p>
    <w:p w14:paraId="1803F999" w14:textId="77777777" w:rsidR="00973E49" w:rsidRDefault="00973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876F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F66992" w14:textId="77777777" w:rsidR="005673B8" w:rsidRDefault="005673B8">
    <w:pPr>
      <w:pStyle w:val="Footer"/>
    </w:pPr>
  </w:p>
  <w:p w14:paraId="623CBB03" w14:textId="77777777" w:rsidR="005673B8" w:rsidRDefault="00567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EF53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7D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E3F3D" w14:textId="77777777" w:rsidR="005673B8" w:rsidRDefault="00567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DE57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1B52" w14:textId="77777777" w:rsidR="00973E49" w:rsidRDefault="00973E49">
      <w:r>
        <w:separator/>
      </w:r>
    </w:p>
    <w:p w14:paraId="3AFBE8BD" w14:textId="77777777" w:rsidR="00973E49" w:rsidRDefault="00973E49"/>
  </w:footnote>
  <w:footnote w:type="continuationSeparator" w:id="0">
    <w:p w14:paraId="769750B7" w14:textId="77777777" w:rsidR="00973E49" w:rsidRDefault="00973E49">
      <w:r>
        <w:continuationSeparator/>
      </w:r>
    </w:p>
    <w:p w14:paraId="2600660E" w14:textId="77777777" w:rsidR="00973E49" w:rsidRDefault="00973E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3A0"/>
    <w:multiLevelType w:val="hybridMultilevel"/>
    <w:tmpl w:val="3172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1F21"/>
    <w:multiLevelType w:val="hybridMultilevel"/>
    <w:tmpl w:val="F502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6B64"/>
    <w:multiLevelType w:val="hybridMultilevel"/>
    <w:tmpl w:val="33583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AMA&lt;/Style&gt;&lt;LeftDelim&gt;{&lt;/LeftDelim&gt;&lt;RightDelim&gt;}&lt;/RightDelim&gt;&lt;FontName&gt;Garamond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B162B"/>
    <w:rsid w:val="000C2D39"/>
    <w:rsid w:val="000D4049"/>
    <w:rsid w:val="00167978"/>
    <w:rsid w:val="00185E6B"/>
    <w:rsid w:val="001A4F88"/>
    <w:rsid w:val="00276801"/>
    <w:rsid w:val="002D6D41"/>
    <w:rsid w:val="003C7839"/>
    <w:rsid w:val="003F49CE"/>
    <w:rsid w:val="00424E67"/>
    <w:rsid w:val="0051487E"/>
    <w:rsid w:val="00517E9F"/>
    <w:rsid w:val="00532814"/>
    <w:rsid w:val="00532FCA"/>
    <w:rsid w:val="005335D7"/>
    <w:rsid w:val="005673B8"/>
    <w:rsid w:val="00575EC0"/>
    <w:rsid w:val="005C662F"/>
    <w:rsid w:val="00606ECA"/>
    <w:rsid w:val="00625C90"/>
    <w:rsid w:val="006E0AE4"/>
    <w:rsid w:val="006E6B2F"/>
    <w:rsid w:val="006E6C62"/>
    <w:rsid w:val="007919FB"/>
    <w:rsid w:val="007D755D"/>
    <w:rsid w:val="00837B7E"/>
    <w:rsid w:val="0086057B"/>
    <w:rsid w:val="00871186"/>
    <w:rsid w:val="0089312A"/>
    <w:rsid w:val="00896560"/>
    <w:rsid w:val="008A31E2"/>
    <w:rsid w:val="00952443"/>
    <w:rsid w:val="00973E49"/>
    <w:rsid w:val="0098112A"/>
    <w:rsid w:val="009A676F"/>
    <w:rsid w:val="00A252E8"/>
    <w:rsid w:val="00A4633B"/>
    <w:rsid w:val="00A73AE9"/>
    <w:rsid w:val="00AB162B"/>
    <w:rsid w:val="00AD2A76"/>
    <w:rsid w:val="00B3186D"/>
    <w:rsid w:val="00B42824"/>
    <w:rsid w:val="00B65DE7"/>
    <w:rsid w:val="00B810B8"/>
    <w:rsid w:val="00B861D2"/>
    <w:rsid w:val="00CD5211"/>
    <w:rsid w:val="00D31B5D"/>
    <w:rsid w:val="00D831D7"/>
    <w:rsid w:val="00D87D85"/>
    <w:rsid w:val="00E1388E"/>
    <w:rsid w:val="00EE6D9D"/>
    <w:rsid w:val="00F358EA"/>
    <w:rsid w:val="00F37651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34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table" w:customStyle="1" w:styleId="GridTable1Light-Accent11">
    <w:name w:val="Grid Table 1 Light - Accent 11"/>
    <w:basedOn w:val="TableNormal"/>
    <w:uiPriority w:val="46"/>
    <w:rsid w:val="00424E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D87D85"/>
    <w:pPr>
      <w:jc w:val="center"/>
    </w:pPr>
    <w:rPr>
      <w:rFonts w:ascii="Garamond" w:hAnsi="Garamond"/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D87D85"/>
    <w:rPr>
      <w:rFonts w:ascii="Garamond" w:hAnsi="Garamond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D87D85"/>
    <w:rPr>
      <w:rFonts w:ascii="Garamond" w:hAnsi="Garamond"/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D87D85"/>
    <w:rPr>
      <w:rFonts w:ascii="Garamond" w:hAnsi="Garamond"/>
      <w:noProof/>
      <w:sz w:val="22"/>
    </w:rPr>
  </w:style>
  <w:style w:type="character" w:styleId="Hyperlink">
    <w:name w:val="Hyperlink"/>
    <w:basedOn w:val="DefaultParagraphFont"/>
    <w:uiPriority w:val="99"/>
    <w:unhideWhenUsed/>
    <w:rsid w:val="00D87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table" w:customStyle="1" w:styleId="GridTable1Light-Accent11">
    <w:name w:val="Grid Table 1 Light - Accent 11"/>
    <w:basedOn w:val="TableNormal"/>
    <w:uiPriority w:val="46"/>
    <w:rsid w:val="00424E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D87D85"/>
    <w:pPr>
      <w:jc w:val="center"/>
    </w:pPr>
    <w:rPr>
      <w:rFonts w:ascii="Garamond" w:hAnsi="Garamond"/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D87D85"/>
    <w:rPr>
      <w:rFonts w:ascii="Garamond" w:hAnsi="Garamond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D87D85"/>
    <w:rPr>
      <w:rFonts w:ascii="Garamond" w:hAnsi="Garamond"/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D87D85"/>
    <w:rPr>
      <w:rFonts w:ascii="Garamond" w:hAnsi="Garamond"/>
      <w:noProof/>
      <w:sz w:val="22"/>
    </w:rPr>
  </w:style>
  <w:style w:type="character" w:styleId="Hyperlink">
    <w:name w:val="Hyperlink"/>
    <w:basedOn w:val="DefaultParagraphFont"/>
    <w:uiPriority w:val="99"/>
    <w:unhideWhenUsed/>
    <w:rsid w:val="00D87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.gov/oig/pubs/VAOIG-14-00895-163.pdf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hcup-us.ahrq.gov/toolssoftware/ccs/CCSUsersGuide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f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95A3B-32BE-4635-8DCC-953D2999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Brandeis University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Sharon Reif</dc:creator>
  <cp:lastModifiedBy>Frank-man</cp:lastModifiedBy>
  <cp:revision>2</cp:revision>
  <cp:lastPrinted>2018-02-20T19:18:00Z</cp:lastPrinted>
  <dcterms:created xsi:type="dcterms:W3CDTF">2019-12-09T23:14:00Z</dcterms:created>
  <dcterms:modified xsi:type="dcterms:W3CDTF">2019-12-09T23:14:00Z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